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E6991" w14:textId="09361DEC" w:rsidR="00D973E2" w:rsidRDefault="00D85F38" w:rsidP="00C77EF9">
      <w:pPr>
        <w:spacing w:after="0" w:line="240" w:lineRule="auto"/>
        <w:rPr>
          <w:b/>
          <w:color w:val="00153E"/>
          <w:sz w:val="32"/>
          <w:szCs w:val="32"/>
        </w:rPr>
      </w:pPr>
      <w:r>
        <w:rPr>
          <w:b/>
          <w:noProof/>
          <w:color w:val="00153E"/>
          <w:sz w:val="32"/>
          <w:szCs w:val="32"/>
          <w:lang w:eastAsia="fr-FR"/>
        </w:rPr>
        <w:drawing>
          <wp:anchor distT="0" distB="0" distL="114300" distR="114300" simplePos="0" relativeHeight="251659776" behindDoc="0" locked="0" layoutInCell="1" allowOverlap="1" wp14:anchorId="6A632D5A" wp14:editId="6D375ED2">
            <wp:simplePos x="0" y="0"/>
            <wp:positionH relativeFrom="margin">
              <wp:align>center</wp:align>
            </wp:positionH>
            <wp:positionV relativeFrom="paragraph">
              <wp:posOffset>0</wp:posOffset>
            </wp:positionV>
            <wp:extent cx="6562725" cy="2148840"/>
            <wp:effectExtent l="0" t="0" r="9525" b="381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JPG"/>
                    <pic:cNvPicPr/>
                  </pic:nvPicPr>
                  <pic:blipFill>
                    <a:blip r:embed="rId6">
                      <a:extLst>
                        <a:ext uri="{28A0092B-C50C-407E-A947-70E740481C1C}">
                          <a14:useLocalDpi xmlns:a14="http://schemas.microsoft.com/office/drawing/2010/main" val="0"/>
                        </a:ext>
                      </a:extLst>
                    </a:blip>
                    <a:stretch>
                      <a:fillRect/>
                    </a:stretch>
                  </pic:blipFill>
                  <pic:spPr>
                    <a:xfrm>
                      <a:off x="0" y="0"/>
                      <a:ext cx="6562725" cy="2148840"/>
                    </a:xfrm>
                    <a:prstGeom prst="rect">
                      <a:avLst/>
                    </a:prstGeom>
                  </pic:spPr>
                </pic:pic>
              </a:graphicData>
            </a:graphic>
            <wp14:sizeRelH relativeFrom="margin">
              <wp14:pctWidth>0</wp14:pctWidth>
            </wp14:sizeRelH>
            <wp14:sizeRelV relativeFrom="margin">
              <wp14:pctHeight>0</wp14:pctHeight>
            </wp14:sizeRelV>
          </wp:anchor>
        </w:drawing>
      </w:r>
    </w:p>
    <w:p w14:paraId="5E108B43" w14:textId="7D9389E7" w:rsidR="00DB1D35" w:rsidRPr="003605E5" w:rsidRDefault="00DB1D35" w:rsidP="00DB1D35">
      <w:pPr>
        <w:tabs>
          <w:tab w:val="left" w:pos="5387"/>
          <w:tab w:val="left" w:pos="5529"/>
        </w:tabs>
        <w:spacing w:after="0" w:line="240" w:lineRule="auto"/>
        <w:ind w:left="-567" w:right="-856"/>
        <w:rPr>
          <w:b/>
          <w:color w:val="00153E"/>
          <w:sz w:val="32"/>
          <w:szCs w:val="32"/>
        </w:rPr>
      </w:pPr>
      <w:r w:rsidRPr="003605E5">
        <w:rPr>
          <w:b/>
          <w:color w:val="00153E"/>
          <w:sz w:val="32"/>
          <w:szCs w:val="32"/>
        </w:rPr>
        <w:t>COMMUNIQUÉ DE PRESSE</w:t>
      </w:r>
    </w:p>
    <w:p w14:paraId="3BBB69EC" w14:textId="34DB5CCE" w:rsidR="00DB1D35" w:rsidRDefault="00FB4221" w:rsidP="00DB1D35">
      <w:pPr>
        <w:tabs>
          <w:tab w:val="left" w:pos="5387"/>
          <w:tab w:val="left" w:pos="5529"/>
        </w:tabs>
        <w:spacing w:after="0" w:line="240" w:lineRule="auto"/>
        <w:ind w:left="-567" w:right="-856"/>
      </w:pPr>
      <w:r>
        <w:rPr>
          <w:i/>
        </w:rPr>
        <w:t xml:space="preserve">Grenoble, le </w:t>
      </w:r>
      <w:r w:rsidR="0065333C">
        <w:rPr>
          <w:i/>
        </w:rPr>
        <w:t>4</w:t>
      </w:r>
      <w:r w:rsidR="00C53D29">
        <w:rPr>
          <w:i/>
        </w:rPr>
        <w:t xml:space="preserve"> février </w:t>
      </w:r>
      <w:r w:rsidR="00DB1D35">
        <w:rPr>
          <w:i/>
        </w:rPr>
        <w:t>2020</w:t>
      </w:r>
    </w:p>
    <w:p w14:paraId="1FDB61BF" w14:textId="77777777" w:rsidR="00DB1D35" w:rsidRDefault="00DB1D35" w:rsidP="00ED2725">
      <w:pPr>
        <w:spacing w:after="0" w:line="240" w:lineRule="auto"/>
        <w:rPr>
          <w:rFonts w:eastAsia="Times New Roman" w:cs="Times New Roman"/>
          <w:b/>
          <w:sz w:val="32"/>
          <w:szCs w:val="32"/>
          <w:lang w:eastAsia="fr-FR"/>
        </w:rPr>
      </w:pPr>
    </w:p>
    <w:p w14:paraId="3E419C27" w14:textId="77777777" w:rsidR="00ED2725" w:rsidRPr="00DB1D35" w:rsidRDefault="00ED2725" w:rsidP="00DB1D35">
      <w:pPr>
        <w:spacing w:after="0" w:line="240" w:lineRule="auto"/>
        <w:jc w:val="both"/>
        <w:rPr>
          <w:rFonts w:eastAsia="Times New Roman" w:cs="Times New Roman"/>
          <w:b/>
          <w:sz w:val="40"/>
          <w:szCs w:val="40"/>
          <w:lang w:eastAsia="fr-FR"/>
        </w:rPr>
      </w:pPr>
      <w:r w:rsidRPr="00DB1D35">
        <w:rPr>
          <w:rFonts w:eastAsia="Times New Roman" w:cs="Times New Roman"/>
          <w:b/>
          <w:sz w:val="40"/>
          <w:szCs w:val="40"/>
          <w:lang w:eastAsia="fr-FR"/>
        </w:rPr>
        <w:t xml:space="preserve">PEGASE : le projet grenoblois </w:t>
      </w:r>
      <w:r w:rsidR="008E6655">
        <w:rPr>
          <w:rFonts w:eastAsia="Times New Roman" w:cs="Times New Roman"/>
          <w:b/>
          <w:sz w:val="40"/>
          <w:szCs w:val="40"/>
          <w:lang w:eastAsia="fr-FR"/>
        </w:rPr>
        <w:t xml:space="preserve">sélectionné pour être l’un des trois </w:t>
      </w:r>
      <w:r w:rsidRPr="00DB1D35">
        <w:rPr>
          <w:rFonts w:eastAsia="Times New Roman" w:cs="Times New Roman"/>
          <w:b/>
          <w:sz w:val="40"/>
          <w:szCs w:val="40"/>
          <w:lang w:eastAsia="fr-FR"/>
        </w:rPr>
        <w:t>Pôle</w:t>
      </w:r>
      <w:r w:rsidR="008E6655">
        <w:rPr>
          <w:rFonts w:eastAsia="Times New Roman" w:cs="Times New Roman"/>
          <w:b/>
          <w:sz w:val="40"/>
          <w:szCs w:val="40"/>
          <w:lang w:eastAsia="fr-FR"/>
        </w:rPr>
        <w:t>s</w:t>
      </w:r>
      <w:r w:rsidRPr="00DB1D35">
        <w:rPr>
          <w:rFonts w:eastAsia="Times New Roman" w:cs="Times New Roman"/>
          <w:b/>
          <w:sz w:val="40"/>
          <w:szCs w:val="40"/>
          <w:lang w:eastAsia="fr-FR"/>
        </w:rPr>
        <w:t xml:space="preserve"> pilote</w:t>
      </w:r>
      <w:r w:rsidR="008E6655">
        <w:rPr>
          <w:rFonts w:eastAsia="Times New Roman" w:cs="Times New Roman"/>
          <w:b/>
          <w:sz w:val="40"/>
          <w:szCs w:val="40"/>
          <w:lang w:eastAsia="fr-FR"/>
        </w:rPr>
        <w:t>s français</w:t>
      </w:r>
      <w:r w:rsidRPr="00DB1D35">
        <w:rPr>
          <w:rFonts w:eastAsia="Times New Roman" w:cs="Times New Roman"/>
          <w:b/>
          <w:sz w:val="40"/>
          <w:szCs w:val="40"/>
          <w:lang w:eastAsia="fr-FR"/>
        </w:rPr>
        <w:t xml:space="preserve"> de formation des enseignants et de recherche en éducation </w:t>
      </w:r>
    </w:p>
    <w:p w14:paraId="76104DBF" w14:textId="11DED0A8" w:rsidR="00ED2725" w:rsidRPr="00EB5377" w:rsidRDefault="002D6B78" w:rsidP="00FB4221">
      <w:pPr>
        <w:spacing w:before="100" w:beforeAutospacing="1" w:after="100" w:afterAutospacing="1" w:line="240" w:lineRule="auto"/>
        <w:jc w:val="both"/>
        <w:rPr>
          <w:rFonts w:eastAsia="Times New Roman" w:cs="Times New Roman"/>
          <w:b/>
          <w:sz w:val="26"/>
          <w:szCs w:val="26"/>
          <w:lang w:eastAsia="fr-FR"/>
        </w:rPr>
      </w:pPr>
      <w:r w:rsidRPr="00EB5377">
        <w:rPr>
          <w:rFonts w:eastAsia="Times New Roman" w:cs="Times New Roman"/>
          <w:b/>
          <w:sz w:val="26"/>
          <w:szCs w:val="26"/>
          <w:lang w:eastAsia="fr-FR"/>
        </w:rPr>
        <w:t>L</w:t>
      </w:r>
      <w:r w:rsidR="00ED2725" w:rsidRPr="00EB5377">
        <w:rPr>
          <w:rFonts w:eastAsia="Times New Roman" w:cs="Times New Roman"/>
          <w:b/>
          <w:sz w:val="26"/>
          <w:szCs w:val="26"/>
          <w:lang w:eastAsia="fr-FR"/>
        </w:rPr>
        <w:t>e projet de l’U</w:t>
      </w:r>
      <w:r w:rsidRPr="00EB5377">
        <w:rPr>
          <w:rFonts w:eastAsia="Times New Roman" w:cs="Times New Roman"/>
          <w:b/>
          <w:sz w:val="26"/>
          <w:szCs w:val="26"/>
          <w:lang w:eastAsia="fr-FR"/>
        </w:rPr>
        <w:t>niversité Grenoble Alpes</w:t>
      </w:r>
      <w:r w:rsidR="00C76978" w:rsidRPr="00EB5377">
        <w:rPr>
          <w:rFonts w:eastAsia="Times New Roman" w:cs="Times New Roman"/>
          <w:b/>
          <w:sz w:val="26"/>
          <w:szCs w:val="26"/>
          <w:lang w:eastAsia="fr-FR"/>
        </w:rPr>
        <w:t xml:space="preserve"> et du rectorat de l’académie de Grenoble</w:t>
      </w:r>
      <w:r w:rsidRPr="00EB5377">
        <w:rPr>
          <w:rFonts w:eastAsia="Times New Roman" w:cs="Times New Roman"/>
          <w:b/>
          <w:sz w:val="26"/>
          <w:szCs w:val="26"/>
          <w:lang w:eastAsia="fr-FR"/>
        </w:rPr>
        <w:t xml:space="preserve"> compte parmi les</w:t>
      </w:r>
      <w:r w:rsidR="00ED2725" w:rsidRPr="00EB5377">
        <w:rPr>
          <w:rFonts w:eastAsia="Times New Roman" w:cs="Times New Roman"/>
          <w:b/>
          <w:sz w:val="26"/>
          <w:szCs w:val="26"/>
          <w:lang w:eastAsia="fr-FR"/>
        </w:rPr>
        <w:t xml:space="preserve"> 3 lauréats de l’appel à projets "Pôles pilotes de formation des enseignants et de recherche pour l’éducation</w:t>
      </w:r>
      <w:r w:rsidR="006E2261" w:rsidRPr="00EB5377">
        <w:rPr>
          <w:rFonts w:eastAsia="Times New Roman" w:cs="Times New Roman"/>
          <w:b/>
          <w:sz w:val="26"/>
          <w:szCs w:val="26"/>
          <w:lang w:eastAsia="fr-FR"/>
        </w:rPr>
        <w:t>"</w:t>
      </w:r>
      <w:r w:rsidR="00A661DC" w:rsidRPr="00EB5377">
        <w:rPr>
          <w:rFonts w:eastAsia="Times New Roman" w:cs="Times New Roman"/>
          <w:b/>
          <w:sz w:val="26"/>
          <w:szCs w:val="26"/>
          <w:lang w:eastAsia="fr-FR"/>
        </w:rPr>
        <w:t>. L</w:t>
      </w:r>
      <w:r w:rsidR="006E2261" w:rsidRPr="00EB5377">
        <w:rPr>
          <w:rFonts w:eastAsia="Times New Roman" w:cs="Times New Roman"/>
          <w:b/>
          <w:sz w:val="26"/>
          <w:szCs w:val="26"/>
          <w:lang w:eastAsia="fr-FR"/>
        </w:rPr>
        <w:t>ancé dans le cadre de l’action "Territoires d’innovation pédagogique" du PIA 3</w:t>
      </w:r>
      <w:r w:rsidR="005F278B" w:rsidRPr="00EB5377">
        <w:rPr>
          <w:rFonts w:eastAsia="Times New Roman" w:cs="Times New Roman"/>
          <w:b/>
          <w:sz w:val="26"/>
          <w:szCs w:val="26"/>
          <w:lang w:eastAsia="fr-FR"/>
        </w:rPr>
        <w:t>*</w:t>
      </w:r>
      <w:r w:rsidR="00EB5377">
        <w:rPr>
          <w:rFonts w:eastAsia="Times New Roman" w:cs="Times New Roman"/>
          <w:b/>
          <w:sz w:val="26"/>
          <w:szCs w:val="26"/>
          <w:lang w:eastAsia="fr-FR"/>
        </w:rPr>
        <w:t xml:space="preserve"> c</w:t>
      </w:r>
      <w:r w:rsidR="006E2261" w:rsidRPr="00EB5377">
        <w:rPr>
          <w:rFonts w:eastAsia="Times New Roman" w:cs="Times New Roman"/>
          <w:b/>
          <w:sz w:val="26"/>
          <w:szCs w:val="26"/>
          <w:lang w:eastAsia="fr-FR"/>
        </w:rPr>
        <w:t xml:space="preserve">et appel à projets </w:t>
      </w:r>
      <w:r w:rsidR="00F97496" w:rsidRPr="00EB5377">
        <w:rPr>
          <w:rFonts w:eastAsia="Times New Roman" w:cs="Times New Roman"/>
          <w:b/>
          <w:sz w:val="26"/>
          <w:szCs w:val="26"/>
          <w:lang w:eastAsia="fr-FR"/>
        </w:rPr>
        <w:t xml:space="preserve">prévoit </w:t>
      </w:r>
      <w:r w:rsidR="00ED2725" w:rsidRPr="00EB5377">
        <w:rPr>
          <w:rFonts w:eastAsia="Times New Roman" w:cs="Times New Roman"/>
          <w:b/>
          <w:sz w:val="26"/>
          <w:szCs w:val="26"/>
          <w:lang w:eastAsia="fr-FR"/>
        </w:rPr>
        <w:t>une enveloppe</w:t>
      </w:r>
      <w:r w:rsidR="008E6655" w:rsidRPr="00EB5377">
        <w:rPr>
          <w:rFonts w:eastAsia="Times New Roman" w:cs="Times New Roman"/>
          <w:b/>
          <w:sz w:val="26"/>
          <w:szCs w:val="26"/>
          <w:lang w:eastAsia="fr-FR"/>
        </w:rPr>
        <w:t xml:space="preserve"> globale</w:t>
      </w:r>
      <w:r w:rsidR="00ED2725" w:rsidRPr="00EB5377">
        <w:rPr>
          <w:rFonts w:eastAsia="Times New Roman" w:cs="Times New Roman"/>
          <w:b/>
          <w:sz w:val="26"/>
          <w:szCs w:val="26"/>
          <w:lang w:eastAsia="fr-FR"/>
        </w:rPr>
        <w:t xml:space="preserve"> de 30 millions d’euros sou</w:t>
      </w:r>
      <w:r w:rsidR="006E2261" w:rsidRPr="00EB5377">
        <w:rPr>
          <w:rFonts w:eastAsia="Times New Roman" w:cs="Times New Roman"/>
          <w:b/>
          <w:sz w:val="26"/>
          <w:szCs w:val="26"/>
          <w:lang w:eastAsia="fr-FR"/>
        </w:rPr>
        <w:t>s forme de dotations décennales</w:t>
      </w:r>
      <w:r w:rsidR="00ED2725" w:rsidRPr="00EB5377">
        <w:rPr>
          <w:rFonts w:eastAsia="Times New Roman" w:cs="Times New Roman"/>
          <w:b/>
          <w:sz w:val="26"/>
          <w:szCs w:val="26"/>
          <w:lang w:eastAsia="fr-FR"/>
        </w:rPr>
        <w:t xml:space="preserve">. </w:t>
      </w:r>
    </w:p>
    <w:p w14:paraId="6A838076" w14:textId="1D78D267" w:rsidR="008E6655" w:rsidRDefault="008E6655" w:rsidP="00FB4221">
      <w:pPr>
        <w:spacing w:after="0" w:line="240" w:lineRule="auto"/>
        <w:jc w:val="both"/>
        <w:rPr>
          <w:rFonts w:eastAsia="Times New Roman" w:cs="Times New Roman"/>
          <w:lang w:eastAsia="fr-FR"/>
        </w:rPr>
      </w:pPr>
      <w:r>
        <w:rPr>
          <w:rFonts w:eastAsia="Times New Roman" w:cs="Times New Roman"/>
          <w:lang w:eastAsia="fr-FR"/>
        </w:rPr>
        <w:t>Porté par</w:t>
      </w:r>
      <w:r w:rsidRPr="00ED2725">
        <w:rPr>
          <w:rFonts w:eastAsia="Times New Roman" w:cs="Times New Roman"/>
          <w:lang w:eastAsia="fr-FR"/>
        </w:rPr>
        <w:t xml:space="preserve"> l’Université Grenoble Alpes et le rectorat de l’académie de Grenoble,</w:t>
      </w:r>
      <w:r>
        <w:rPr>
          <w:rFonts w:eastAsia="Times New Roman" w:cs="Times New Roman"/>
          <w:lang w:eastAsia="fr-FR"/>
        </w:rPr>
        <w:t xml:space="preserve"> l</w:t>
      </w:r>
      <w:r w:rsidRPr="00ED2725">
        <w:rPr>
          <w:rFonts w:eastAsia="Times New Roman" w:cs="Times New Roman"/>
          <w:lang w:eastAsia="fr-FR"/>
        </w:rPr>
        <w:t>e p</w:t>
      </w:r>
      <w:r>
        <w:rPr>
          <w:rFonts w:eastAsia="Times New Roman" w:cs="Times New Roman"/>
          <w:lang w:eastAsia="fr-FR"/>
        </w:rPr>
        <w:t>rojet</w:t>
      </w:r>
      <w:r w:rsidRPr="00ED2725">
        <w:rPr>
          <w:rFonts w:eastAsia="Times New Roman" w:cs="Times New Roman"/>
          <w:lang w:eastAsia="fr-FR"/>
        </w:rPr>
        <w:t xml:space="preserve"> PEGASE (Pôle </w:t>
      </w:r>
      <w:r w:rsidR="00EB5377">
        <w:rPr>
          <w:rFonts w:eastAsia="Times New Roman" w:cstheme="minorHAnsi"/>
          <w:lang w:eastAsia="fr-FR"/>
        </w:rPr>
        <w:t>É</w:t>
      </w:r>
      <w:r w:rsidRPr="00ED2725">
        <w:rPr>
          <w:rFonts w:eastAsia="Times New Roman" w:cs="Times New Roman"/>
          <w:lang w:eastAsia="fr-FR"/>
        </w:rPr>
        <w:t>ducation-recherche de l’académie de</w:t>
      </w:r>
      <w:r>
        <w:rPr>
          <w:rFonts w:eastAsia="Times New Roman" w:cs="Times New Roman"/>
          <w:lang w:eastAsia="fr-FR"/>
        </w:rPr>
        <w:t xml:space="preserve"> Grenoble sur les </w:t>
      </w:r>
      <w:r w:rsidR="00754768">
        <w:rPr>
          <w:rFonts w:eastAsia="Times New Roman" w:cs="Times New Roman"/>
          <w:lang w:eastAsia="fr-FR"/>
        </w:rPr>
        <w:t>Apprentissag</w:t>
      </w:r>
      <w:r w:rsidR="00754768" w:rsidRPr="00D973E2">
        <w:rPr>
          <w:rFonts w:eastAsia="Times New Roman" w:cs="Times New Roman"/>
          <w:lang w:eastAsia="fr-FR"/>
        </w:rPr>
        <w:t>e</w:t>
      </w:r>
      <w:r w:rsidR="00B92BA1">
        <w:rPr>
          <w:rFonts w:eastAsia="Times New Roman" w:cs="Times New Roman"/>
          <w:lang w:eastAsia="fr-FR"/>
        </w:rPr>
        <w:t>S</w:t>
      </w:r>
      <w:bookmarkStart w:id="0" w:name="_GoBack"/>
      <w:bookmarkEnd w:id="0"/>
      <w:r w:rsidR="00754768" w:rsidRPr="00ED2725">
        <w:rPr>
          <w:rFonts w:eastAsia="Times New Roman" w:cs="Times New Roman"/>
          <w:lang w:eastAsia="fr-FR"/>
        </w:rPr>
        <w:t xml:space="preserve"> </w:t>
      </w:r>
      <w:r w:rsidRPr="00ED2725">
        <w:rPr>
          <w:rFonts w:eastAsia="Times New Roman" w:cs="Times New Roman"/>
          <w:lang w:eastAsia="fr-FR"/>
        </w:rPr>
        <w:t>fondamentaux pour lutter contre les inégalités à l’Ecole),</w:t>
      </w:r>
      <w:r>
        <w:rPr>
          <w:rFonts w:eastAsia="Times New Roman" w:cs="Times New Roman"/>
          <w:lang w:eastAsia="fr-FR"/>
        </w:rPr>
        <w:t xml:space="preserve"> a pour</w:t>
      </w:r>
      <w:r w:rsidRPr="00ED2725">
        <w:rPr>
          <w:rFonts w:eastAsia="Times New Roman" w:cs="Times New Roman"/>
          <w:lang w:eastAsia="fr-FR"/>
        </w:rPr>
        <w:t xml:space="preserve"> ambition de transformer les pratiques enseignantes de la maternelle au lycée pour renforcer l’apprentissage des savoirs fondamentaux et contribuer à réduire les inégalités dans le système éducatif.</w:t>
      </w:r>
    </w:p>
    <w:p w14:paraId="51E4143F" w14:textId="77777777" w:rsidR="00641F70" w:rsidRDefault="00641F70" w:rsidP="00FB4221">
      <w:pPr>
        <w:spacing w:after="0" w:line="240" w:lineRule="auto"/>
        <w:jc w:val="both"/>
        <w:rPr>
          <w:rFonts w:eastAsia="Times New Roman" w:cs="Times New Roman"/>
          <w:lang w:eastAsia="fr-FR"/>
        </w:rPr>
      </w:pPr>
    </w:p>
    <w:p w14:paraId="35E98583" w14:textId="64CFDF26" w:rsidR="008E6655" w:rsidRPr="00A45103" w:rsidRDefault="004E671D" w:rsidP="00FB4221">
      <w:pPr>
        <w:spacing w:after="0" w:line="240" w:lineRule="auto"/>
        <w:jc w:val="both"/>
        <w:rPr>
          <w:rFonts w:eastAsia="Times New Roman" w:cs="Times New Roman"/>
          <w:lang w:eastAsia="fr-FR"/>
        </w:rPr>
      </w:pPr>
      <w:r w:rsidRPr="00A45103">
        <w:rPr>
          <w:rFonts w:eastAsia="Times New Roman" w:cs="Times New Roman"/>
          <w:i/>
          <w:lang w:eastAsia="fr-FR"/>
        </w:rPr>
        <w:lastRenderedPageBreak/>
        <w:t>« Cette réussite témoigne de l’excellence grenobloise en matière de collaboration enseignement, formation et recherche. Le pôle pilote, qui</w:t>
      </w:r>
      <w:r w:rsidR="009E62B5" w:rsidRPr="00A45103">
        <w:rPr>
          <w:rFonts w:eastAsia="Times New Roman" w:cs="Times New Roman"/>
          <w:i/>
          <w:lang w:eastAsia="fr-FR"/>
        </w:rPr>
        <w:t xml:space="preserve"> va se structurer autour des </w:t>
      </w:r>
      <w:proofErr w:type="spellStart"/>
      <w:r w:rsidR="00D973E2">
        <w:rPr>
          <w:rFonts w:eastAsia="Times New Roman" w:cs="Times New Roman"/>
          <w:i/>
          <w:lang w:eastAsia="fr-FR"/>
        </w:rPr>
        <w:t>EducL</w:t>
      </w:r>
      <w:r w:rsidRPr="00A45103">
        <w:rPr>
          <w:rFonts w:eastAsia="Times New Roman" w:cs="Times New Roman"/>
          <w:i/>
          <w:lang w:eastAsia="fr-FR"/>
        </w:rPr>
        <w:t>abs</w:t>
      </w:r>
      <w:proofErr w:type="spellEnd"/>
      <w:r w:rsidRPr="00A45103">
        <w:rPr>
          <w:rFonts w:eastAsia="Times New Roman" w:cs="Times New Roman"/>
          <w:i/>
          <w:lang w:eastAsia="fr-FR"/>
        </w:rPr>
        <w:t xml:space="preserve"> dans </w:t>
      </w:r>
      <w:r w:rsidR="00F97496" w:rsidRPr="00A45103">
        <w:rPr>
          <w:rFonts w:eastAsia="Times New Roman" w:cs="Times New Roman"/>
          <w:i/>
          <w:lang w:eastAsia="fr-FR"/>
        </w:rPr>
        <w:t>les académies de Grenoble et de</w:t>
      </w:r>
      <w:r w:rsidRPr="00A45103">
        <w:rPr>
          <w:rFonts w:eastAsia="Times New Roman" w:cs="Times New Roman"/>
          <w:i/>
          <w:lang w:eastAsia="fr-FR"/>
        </w:rPr>
        <w:t xml:space="preserve"> Guyane, sera un levier majeur d’amélioration des résultats de tous les élèves dans le domaine des apprentissages fondamentaux</w:t>
      </w:r>
      <w:r w:rsidR="009E62B5" w:rsidRPr="00A45103">
        <w:rPr>
          <w:rFonts w:eastAsia="Times New Roman" w:cs="Times New Roman"/>
          <w:i/>
          <w:lang w:eastAsia="fr-FR"/>
        </w:rPr>
        <w:t>. »</w:t>
      </w:r>
      <w:r w:rsidRPr="00A45103">
        <w:rPr>
          <w:rFonts w:eastAsia="Times New Roman" w:cs="Times New Roman"/>
          <w:lang w:eastAsia="fr-FR"/>
        </w:rPr>
        <w:t xml:space="preserve"> </w:t>
      </w:r>
      <w:r w:rsidR="00293560" w:rsidRPr="00A45103">
        <w:rPr>
          <w:rFonts w:eastAsia="Times New Roman" w:cs="Times New Roman"/>
          <w:lang w:eastAsia="fr-FR"/>
        </w:rPr>
        <w:t xml:space="preserve">se félicitent </w:t>
      </w:r>
      <w:r w:rsidRPr="00A45103">
        <w:rPr>
          <w:rFonts w:eastAsia="Times New Roman" w:cs="Times New Roman"/>
          <w:lang w:eastAsia="fr-FR"/>
        </w:rPr>
        <w:t xml:space="preserve">Fabienne Blaise, Rectrice de </w:t>
      </w:r>
      <w:r w:rsidR="009E62B5" w:rsidRPr="00A45103">
        <w:rPr>
          <w:rFonts w:eastAsia="Times New Roman" w:cs="Times New Roman"/>
          <w:lang w:eastAsia="fr-FR"/>
        </w:rPr>
        <w:t>l’académie de</w:t>
      </w:r>
      <w:r w:rsidRPr="00A45103">
        <w:rPr>
          <w:rFonts w:eastAsia="Times New Roman" w:cs="Times New Roman"/>
          <w:lang w:eastAsia="fr-FR"/>
        </w:rPr>
        <w:t xml:space="preserve"> Grenoble</w:t>
      </w:r>
      <w:r w:rsidR="0065333C">
        <w:rPr>
          <w:rFonts w:eastAsia="Times New Roman" w:cs="Times New Roman"/>
          <w:lang w:eastAsia="fr-FR"/>
        </w:rPr>
        <w:t>,</w:t>
      </w:r>
      <w:r w:rsidR="00293560" w:rsidRPr="00A45103">
        <w:rPr>
          <w:rFonts w:eastAsia="Times New Roman" w:cs="Times New Roman"/>
          <w:lang w:eastAsia="fr-FR"/>
        </w:rPr>
        <w:t xml:space="preserve"> et Yassine </w:t>
      </w:r>
      <w:proofErr w:type="spellStart"/>
      <w:r w:rsidR="00293560" w:rsidRPr="00A45103">
        <w:rPr>
          <w:rFonts w:eastAsia="Times New Roman" w:cs="Times New Roman"/>
          <w:lang w:eastAsia="fr-FR"/>
        </w:rPr>
        <w:t>Lakhnech</w:t>
      </w:r>
      <w:proofErr w:type="spellEnd"/>
      <w:r w:rsidR="00293560" w:rsidRPr="00A45103">
        <w:rPr>
          <w:rFonts w:eastAsia="Times New Roman" w:cs="Times New Roman"/>
          <w:lang w:eastAsia="fr-FR"/>
        </w:rPr>
        <w:t>, Président de l’Université Grenoble Alpes</w:t>
      </w:r>
      <w:r w:rsidR="00F97496" w:rsidRPr="00A45103">
        <w:rPr>
          <w:rFonts w:eastAsia="Times New Roman" w:cs="Times New Roman"/>
          <w:lang w:eastAsia="fr-FR"/>
        </w:rPr>
        <w:t>.</w:t>
      </w:r>
    </w:p>
    <w:p w14:paraId="5AB3B726" w14:textId="676F2170" w:rsidR="00C35D34" w:rsidRDefault="00293560" w:rsidP="00FB4221">
      <w:pPr>
        <w:spacing w:before="100" w:beforeAutospacing="1" w:after="100" w:afterAutospacing="1" w:line="240" w:lineRule="auto"/>
        <w:jc w:val="both"/>
        <w:rPr>
          <w:rFonts w:eastAsia="Times New Roman" w:cs="Times New Roman"/>
          <w:lang w:eastAsia="fr-FR"/>
        </w:rPr>
      </w:pPr>
      <w:r w:rsidRPr="00A45103">
        <w:rPr>
          <w:rFonts w:eastAsia="Times New Roman" w:cs="Times New Roman"/>
          <w:i/>
          <w:lang w:eastAsia="fr-FR"/>
        </w:rPr>
        <w:t>« </w:t>
      </w:r>
      <w:r w:rsidR="00AD594B" w:rsidRPr="00A45103">
        <w:rPr>
          <w:rFonts w:eastAsia="Times New Roman" w:cs="Times New Roman"/>
          <w:i/>
          <w:lang w:eastAsia="fr-FR"/>
        </w:rPr>
        <w:t xml:space="preserve">Il s’agit de </w:t>
      </w:r>
      <w:r w:rsidR="00AD594B" w:rsidRPr="00A45103">
        <w:rPr>
          <w:rFonts w:eastAsia="Times New Roman" w:cs="Times New Roman"/>
          <w:bCs/>
          <w:i/>
          <w:lang w:eastAsia="fr-FR"/>
        </w:rPr>
        <w:t>mettre en place un écosystème associant étroitement les laboratoires de l’UGA, les INSPE</w:t>
      </w:r>
      <w:r w:rsidR="00157C9A">
        <w:rPr>
          <w:rFonts w:eastAsia="Times New Roman" w:cs="Times New Roman"/>
          <w:bCs/>
          <w:i/>
          <w:lang w:eastAsia="fr-FR"/>
        </w:rPr>
        <w:t xml:space="preserve"> et </w:t>
      </w:r>
      <w:r w:rsidR="00F97496" w:rsidRPr="00A45103">
        <w:rPr>
          <w:rFonts w:eastAsia="Times New Roman" w:cs="Times New Roman"/>
          <w:bCs/>
          <w:i/>
          <w:lang w:eastAsia="fr-FR"/>
        </w:rPr>
        <w:t xml:space="preserve">rectorats </w:t>
      </w:r>
      <w:r w:rsidR="00AD594B" w:rsidRPr="00A45103">
        <w:rPr>
          <w:rFonts w:eastAsia="Times New Roman" w:cs="Times New Roman"/>
          <w:bCs/>
          <w:i/>
          <w:lang w:eastAsia="fr-FR"/>
        </w:rPr>
        <w:t>de</w:t>
      </w:r>
      <w:r w:rsidR="001B5B32">
        <w:rPr>
          <w:rFonts w:eastAsia="Times New Roman" w:cs="Times New Roman"/>
          <w:bCs/>
          <w:i/>
          <w:lang w:eastAsia="fr-FR"/>
        </w:rPr>
        <w:t>s Académies de</w:t>
      </w:r>
      <w:r w:rsidR="00AD594B" w:rsidRPr="00A45103">
        <w:rPr>
          <w:rFonts w:eastAsia="Times New Roman" w:cs="Times New Roman"/>
          <w:bCs/>
          <w:i/>
          <w:lang w:eastAsia="fr-FR"/>
        </w:rPr>
        <w:t xml:space="preserve"> Grenoble et de Guyane, </w:t>
      </w:r>
      <w:r w:rsidR="00F97496" w:rsidRPr="00A45103">
        <w:rPr>
          <w:rFonts w:eastAsia="Times New Roman" w:cs="Times New Roman"/>
          <w:bCs/>
          <w:i/>
          <w:lang w:eastAsia="fr-FR"/>
        </w:rPr>
        <w:t>l’Université Savoie Mont Blanc (USMB)</w:t>
      </w:r>
      <w:r w:rsidR="00AD594B" w:rsidRPr="00A45103">
        <w:rPr>
          <w:rFonts w:eastAsia="Times New Roman" w:cs="Times New Roman"/>
          <w:bCs/>
          <w:i/>
          <w:lang w:eastAsia="fr-FR"/>
        </w:rPr>
        <w:t>, et l’ensemble de la communauté enseignante</w:t>
      </w:r>
      <w:r w:rsidR="00AD594B" w:rsidRPr="00A45103">
        <w:rPr>
          <w:rFonts w:eastAsia="Times New Roman" w:cs="Times New Roman"/>
          <w:i/>
          <w:lang w:eastAsia="fr-FR"/>
        </w:rPr>
        <w:t xml:space="preserve">, écosystème </w:t>
      </w:r>
      <w:r w:rsidR="00AD594B" w:rsidRPr="00A45103">
        <w:rPr>
          <w:rFonts w:eastAsia="Times New Roman" w:cs="Times New Roman"/>
          <w:bCs/>
          <w:i/>
          <w:lang w:eastAsia="fr-FR"/>
        </w:rPr>
        <w:t>collaboratif</w:t>
      </w:r>
      <w:r w:rsidR="00AD594B" w:rsidRPr="00A45103">
        <w:rPr>
          <w:rFonts w:eastAsia="Times New Roman" w:cs="Times New Roman"/>
          <w:i/>
          <w:lang w:eastAsia="fr-FR"/>
        </w:rPr>
        <w:t xml:space="preserve"> reposant sur des actions </w:t>
      </w:r>
      <w:r w:rsidR="003453C1" w:rsidRPr="00A45103">
        <w:rPr>
          <w:rFonts w:eastAsia="Times New Roman" w:cs="Times New Roman"/>
          <w:i/>
          <w:lang w:eastAsia="fr-FR"/>
        </w:rPr>
        <w:t xml:space="preserve">qui associent </w:t>
      </w:r>
      <w:r w:rsidR="00AD594B" w:rsidRPr="00A45103">
        <w:rPr>
          <w:rFonts w:eastAsia="Times New Roman" w:cs="Times New Roman"/>
          <w:i/>
          <w:lang w:eastAsia="fr-FR"/>
        </w:rPr>
        <w:t>systématiquement des chercheurs, des formateurs et des enseignants.</w:t>
      </w:r>
      <w:r w:rsidRPr="00A45103">
        <w:rPr>
          <w:rFonts w:eastAsia="Times New Roman" w:cs="Times New Roman"/>
          <w:i/>
          <w:lang w:eastAsia="fr-FR"/>
        </w:rPr>
        <w:t> »</w:t>
      </w:r>
      <w:r>
        <w:rPr>
          <w:rFonts w:eastAsia="Times New Roman" w:cs="Times New Roman"/>
          <w:lang w:eastAsia="fr-FR"/>
        </w:rPr>
        <w:t xml:space="preserve"> précise le porteur du projet Jérôme Clerc, directeur adjoint </w:t>
      </w:r>
      <w:r w:rsidR="00754768">
        <w:rPr>
          <w:rFonts w:eastAsia="Times New Roman" w:cs="Times New Roman"/>
          <w:lang w:eastAsia="fr-FR"/>
        </w:rPr>
        <w:t xml:space="preserve">recherche </w:t>
      </w:r>
      <w:r>
        <w:rPr>
          <w:rFonts w:eastAsia="Times New Roman" w:cs="Times New Roman"/>
          <w:lang w:eastAsia="fr-FR"/>
        </w:rPr>
        <w:t xml:space="preserve">de l’INSPE </w:t>
      </w:r>
      <w:r w:rsidR="00754768">
        <w:rPr>
          <w:rFonts w:eastAsia="Times New Roman" w:cs="Times New Roman"/>
          <w:lang w:eastAsia="fr-FR"/>
        </w:rPr>
        <w:t xml:space="preserve">de </w:t>
      </w:r>
      <w:r w:rsidR="001B5B32">
        <w:rPr>
          <w:rFonts w:eastAsia="Times New Roman" w:cs="Times New Roman"/>
          <w:lang w:eastAsia="fr-FR"/>
        </w:rPr>
        <w:t xml:space="preserve">l'Académie de </w:t>
      </w:r>
      <w:r>
        <w:rPr>
          <w:rFonts w:eastAsia="Times New Roman" w:cs="Times New Roman"/>
          <w:lang w:eastAsia="fr-FR"/>
        </w:rPr>
        <w:t>Grenoble.</w:t>
      </w:r>
      <w:r w:rsidR="00AD594B" w:rsidRPr="00ED2725">
        <w:rPr>
          <w:rFonts w:eastAsia="Times New Roman" w:cs="Times New Roman"/>
          <w:lang w:eastAsia="fr-FR"/>
        </w:rPr>
        <w:t xml:space="preserve"> </w:t>
      </w:r>
    </w:p>
    <w:p w14:paraId="3B860E5D" w14:textId="1E8136F8" w:rsidR="00AD594B" w:rsidRPr="00ED2725" w:rsidRDefault="00C35D34" w:rsidP="00FB4221">
      <w:pPr>
        <w:spacing w:before="100" w:beforeAutospacing="1" w:after="100" w:afterAutospacing="1" w:line="240" w:lineRule="auto"/>
        <w:jc w:val="both"/>
        <w:rPr>
          <w:rFonts w:eastAsia="Times New Roman" w:cs="Times New Roman"/>
          <w:lang w:eastAsia="fr-FR"/>
        </w:rPr>
      </w:pPr>
      <w:r>
        <w:rPr>
          <w:rFonts w:eastAsia="Times New Roman" w:cs="Times New Roman"/>
          <w:lang w:eastAsia="fr-FR"/>
        </w:rPr>
        <w:t xml:space="preserve">Le projet PEGASE </w:t>
      </w:r>
      <w:r w:rsidR="00AD594B" w:rsidRPr="00ED2725">
        <w:rPr>
          <w:rFonts w:eastAsia="Times New Roman" w:cs="Times New Roman"/>
          <w:lang w:eastAsia="fr-FR"/>
        </w:rPr>
        <w:t xml:space="preserve">sera largement </w:t>
      </w:r>
      <w:r w:rsidR="00AD594B" w:rsidRPr="003D3D1B">
        <w:rPr>
          <w:rFonts w:eastAsia="Times New Roman" w:cs="Times New Roman"/>
          <w:bCs/>
          <w:lang w:eastAsia="fr-FR"/>
        </w:rPr>
        <w:t>distribué</w:t>
      </w:r>
      <w:r w:rsidR="00AD594B" w:rsidRPr="00ED2725">
        <w:rPr>
          <w:rFonts w:eastAsia="Times New Roman" w:cs="Times New Roman"/>
          <w:lang w:eastAsia="fr-FR"/>
        </w:rPr>
        <w:t xml:space="preserve"> sur le</w:t>
      </w:r>
      <w:r w:rsidR="00AD594B">
        <w:rPr>
          <w:rFonts w:eastAsia="Times New Roman" w:cs="Times New Roman"/>
          <w:lang w:eastAsia="fr-FR"/>
        </w:rPr>
        <w:t>s</w:t>
      </w:r>
      <w:r w:rsidR="00AD594B" w:rsidRPr="00ED2725">
        <w:rPr>
          <w:rFonts w:eastAsia="Times New Roman" w:cs="Times New Roman"/>
          <w:lang w:eastAsia="fr-FR"/>
        </w:rPr>
        <w:t xml:space="preserve"> territoire</w:t>
      </w:r>
      <w:r w:rsidR="00AD594B">
        <w:rPr>
          <w:rFonts w:eastAsia="Times New Roman" w:cs="Times New Roman"/>
          <w:lang w:eastAsia="fr-FR"/>
        </w:rPr>
        <w:t xml:space="preserve">s </w:t>
      </w:r>
      <w:r w:rsidR="001B5B32">
        <w:rPr>
          <w:rFonts w:eastAsia="Times New Roman" w:cs="Times New Roman"/>
          <w:lang w:eastAsia="fr-FR"/>
        </w:rPr>
        <w:t>des Académies de Grenoble et de Guyane</w:t>
      </w:r>
      <w:r w:rsidR="00AD594B" w:rsidRPr="00ED2725">
        <w:rPr>
          <w:rFonts w:eastAsia="Times New Roman" w:cs="Times New Roman"/>
          <w:lang w:eastAsia="fr-FR"/>
        </w:rPr>
        <w:t xml:space="preserve">, avec la création de </w:t>
      </w:r>
      <w:r w:rsidR="00AD594B" w:rsidRPr="003D3D1B">
        <w:rPr>
          <w:rFonts w:eastAsia="Times New Roman" w:cs="Times New Roman"/>
          <w:bCs/>
          <w:lang w:eastAsia="fr-FR"/>
        </w:rPr>
        <w:t xml:space="preserve">18 </w:t>
      </w:r>
      <w:proofErr w:type="spellStart"/>
      <w:r w:rsidR="00AD594B" w:rsidRPr="003D3D1B">
        <w:rPr>
          <w:rFonts w:eastAsia="Times New Roman" w:cs="Times New Roman"/>
          <w:bCs/>
          <w:lang w:eastAsia="fr-FR"/>
        </w:rPr>
        <w:t>EducLabs</w:t>
      </w:r>
      <w:proofErr w:type="spellEnd"/>
      <w:r w:rsidR="00AD594B" w:rsidRPr="00ED2725">
        <w:rPr>
          <w:rFonts w:eastAsia="Times New Roman" w:cs="Times New Roman"/>
          <w:lang w:eastAsia="fr-FR"/>
        </w:rPr>
        <w:t xml:space="preserve"> </w:t>
      </w:r>
      <w:r w:rsidR="00AD594B">
        <w:rPr>
          <w:rFonts w:eastAsia="Times New Roman" w:cs="Times New Roman"/>
          <w:lang w:eastAsia="fr-FR"/>
        </w:rPr>
        <w:t>consistant en des lieux de travail collaboratif implantés dans des structures scolaires</w:t>
      </w:r>
      <w:r w:rsidR="003453C1">
        <w:rPr>
          <w:rFonts w:eastAsia="Times New Roman" w:cs="Times New Roman"/>
          <w:lang w:eastAsia="fr-FR"/>
        </w:rPr>
        <w:t xml:space="preserve"> et répartis sur les territoires</w:t>
      </w:r>
      <w:r w:rsidR="0065333C">
        <w:rPr>
          <w:rFonts w:eastAsia="Times New Roman" w:cs="Times New Roman"/>
          <w:lang w:eastAsia="fr-FR"/>
        </w:rPr>
        <w:t xml:space="preserve">. Les </w:t>
      </w:r>
      <w:proofErr w:type="spellStart"/>
      <w:r w:rsidR="00853F1F">
        <w:rPr>
          <w:rFonts w:eastAsia="Times New Roman" w:cs="Times New Roman"/>
          <w:lang w:eastAsia="fr-FR"/>
        </w:rPr>
        <w:t>E</w:t>
      </w:r>
      <w:r w:rsidR="0065333C">
        <w:rPr>
          <w:rFonts w:eastAsia="Times New Roman" w:cs="Times New Roman"/>
          <w:lang w:eastAsia="fr-FR"/>
        </w:rPr>
        <w:t>duc</w:t>
      </w:r>
      <w:r w:rsidR="00853F1F">
        <w:rPr>
          <w:rFonts w:eastAsia="Times New Roman" w:cs="Times New Roman"/>
          <w:lang w:eastAsia="fr-FR"/>
        </w:rPr>
        <w:t>Labs</w:t>
      </w:r>
      <w:proofErr w:type="spellEnd"/>
      <w:r w:rsidR="00853F1F">
        <w:rPr>
          <w:rFonts w:eastAsia="Times New Roman" w:cs="Times New Roman"/>
          <w:lang w:eastAsia="fr-FR"/>
        </w:rPr>
        <w:t xml:space="preserve"> </w:t>
      </w:r>
      <w:r w:rsidR="0065333C">
        <w:rPr>
          <w:rFonts w:eastAsia="Times New Roman" w:cs="Times New Roman"/>
          <w:lang w:eastAsia="fr-FR"/>
        </w:rPr>
        <w:t>seront</w:t>
      </w:r>
      <w:r w:rsidR="00D973E2">
        <w:rPr>
          <w:rFonts w:eastAsia="Times New Roman" w:cs="Times New Roman"/>
          <w:lang w:eastAsia="fr-FR"/>
        </w:rPr>
        <w:t xml:space="preserve"> </w:t>
      </w:r>
      <w:r w:rsidR="00AD594B" w:rsidRPr="003D3D1B">
        <w:rPr>
          <w:rFonts w:eastAsia="Times New Roman" w:cs="Times New Roman"/>
          <w:bCs/>
          <w:lang w:eastAsia="fr-FR"/>
        </w:rPr>
        <w:t>ouvert</w:t>
      </w:r>
      <w:r w:rsidR="00D1531B">
        <w:rPr>
          <w:rFonts w:eastAsia="Times New Roman" w:cs="Times New Roman"/>
          <w:bCs/>
          <w:lang w:eastAsia="fr-FR"/>
        </w:rPr>
        <w:t>s</w:t>
      </w:r>
      <w:r w:rsidR="00AD594B" w:rsidRPr="00ED2725">
        <w:rPr>
          <w:rFonts w:eastAsia="Times New Roman" w:cs="Times New Roman"/>
          <w:lang w:eastAsia="fr-FR"/>
        </w:rPr>
        <w:t xml:space="preserve"> au monde socio-économique</w:t>
      </w:r>
      <w:r w:rsidR="00AD594B">
        <w:rPr>
          <w:rFonts w:eastAsia="Times New Roman" w:cs="Times New Roman"/>
          <w:lang w:eastAsia="fr-FR"/>
        </w:rPr>
        <w:t xml:space="preserve"> et associatif</w:t>
      </w:r>
      <w:r w:rsidR="0065333C">
        <w:rPr>
          <w:rFonts w:eastAsia="Times New Roman" w:cs="Times New Roman"/>
          <w:lang w:eastAsia="fr-FR"/>
        </w:rPr>
        <w:t xml:space="preserve"> et assureront</w:t>
      </w:r>
      <w:r w:rsidR="00D973E2">
        <w:rPr>
          <w:rFonts w:eastAsia="Times New Roman" w:cs="Times New Roman"/>
          <w:lang w:eastAsia="fr-FR"/>
        </w:rPr>
        <w:t xml:space="preserve"> </w:t>
      </w:r>
      <w:r w:rsidR="00AD594B" w:rsidRPr="00ED2725">
        <w:rPr>
          <w:rFonts w:eastAsia="Times New Roman" w:cs="Times New Roman"/>
          <w:lang w:eastAsia="fr-FR"/>
        </w:rPr>
        <w:t xml:space="preserve">la dissémination </w:t>
      </w:r>
      <w:r w:rsidR="00AD594B">
        <w:rPr>
          <w:rFonts w:eastAsia="Times New Roman" w:cs="Times New Roman"/>
          <w:lang w:eastAsia="fr-FR"/>
        </w:rPr>
        <w:t xml:space="preserve">et le transfert des connaissances </w:t>
      </w:r>
      <w:r w:rsidR="00D1531B">
        <w:rPr>
          <w:rFonts w:eastAsia="Times New Roman" w:cs="Times New Roman"/>
          <w:lang w:eastAsia="fr-FR"/>
        </w:rPr>
        <w:t xml:space="preserve">issues </w:t>
      </w:r>
      <w:r w:rsidR="00AD594B">
        <w:rPr>
          <w:rFonts w:eastAsia="Times New Roman" w:cs="Times New Roman"/>
          <w:lang w:eastAsia="fr-FR"/>
        </w:rPr>
        <w:t>de la recherche vers le terrain</w:t>
      </w:r>
      <w:r w:rsidR="00D1531B">
        <w:rPr>
          <w:rFonts w:eastAsia="Times New Roman" w:cs="Times New Roman"/>
          <w:lang w:eastAsia="fr-FR"/>
        </w:rPr>
        <w:t>,</w:t>
      </w:r>
      <w:r w:rsidR="00AD594B">
        <w:rPr>
          <w:rFonts w:eastAsia="Times New Roman" w:cs="Times New Roman"/>
          <w:lang w:eastAsia="fr-FR"/>
        </w:rPr>
        <w:t xml:space="preserve"> </w:t>
      </w:r>
      <w:r w:rsidR="00AD594B" w:rsidRPr="00ED2725">
        <w:rPr>
          <w:rFonts w:eastAsia="Times New Roman" w:cs="Times New Roman"/>
          <w:lang w:eastAsia="fr-FR"/>
        </w:rPr>
        <w:t>grâce à la mutualisation des expertises.</w:t>
      </w:r>
    </w:p>
    <w:p w14:paraId="20E1CC4B" w14:textId="24E354D1" w:rsidR="00AD594B" w:rsidRPr="00ED2725" w:rsidRDefault="00AD594B" w:rsidP="00FB4221">
      <w:pPr>
        <w:spacing w:before="100" w:beforeAutospacing="1" w:after="100" w:afterAutospacing="1" w:line="240" w:lineRule="auto"/>
        <w:jc w:val="both"/>
        <w:rPr>
          <w:rFonts w:eastAsia="Times New Roman" w:cs="Times New Roman"/>
          <w:lang w:eastAsia="fr-FR"/>
        </w:rPr>
      </w:pPr>
      <w:r w:rsidRPr="00A45103">
        <w:rPr>
          <w:rFonts w:eastAsia="Times New Roman" w:cs="Times New Roman"/>
          <w:bCs/>
          <w:lang w:eastAsia="fr-FR"/>
        </w:rPr>
        <w:t>Cinq grandes actions seront menées en parallèle</w:t>
      </w:r>
      <w:r w:rsidRPr="00A45103">
        <w:rPr>
          <w:rFonts w:eastAsia="Times New Roman" w:cs="Times New Roman"/>
          <w:lang w:eastAsia="fr-FR"/>
        </w:rPr>
        <w:t xml:space="preserve"> : deux actions de formation, via la transformation de l’offre de </w:t>
      </w:r>
      <w:r w:rsidRPr="00A45103">
        <w:rPr>
          <w:rFonts w:eastAsia="Times New Roman" w:cs="Times New Roman"/>
          <w:bCs/>
          <w:lang w:eastAsia="fr-FR"/>
        </w:rPr>
        <w:t>formation initiale</w:t>
      </w:r>
      <w:r w:rsidRPr="00A45103">
        <w:rPr>
          <w:rFonts w:eastAsia="Times New Roman" w:cs="Times New Roman"/>
          <w:lang w:eastAsia="fr-FR"/>
        </w:rPr>
        <w:t xml:space="preserve"> des INSPE de</w:t>
      </w:r>
      <w:r w:rsidR="001B5B32">
        <w:rPr>
          <w:rFonts w:eastAsia="Times New Roman" w:cs="Times New Roman"/>
          <w:lang w:eastAsia="fr-FR"/>
        </w:rPr>
        <w:t>s Académies de</w:t>
      </w:r>
      <w:r w:rsidRPr="00A45103">
        <w:rPr>
          <w:rFonts w:eastAsia="Times New Roman" w:cs="Times New Roman"/>
          <w:lang w:eastAsia="fr-FR"/>
        </w:rPr>
        <w:t xml:space="preserve"> Grenoble et de Guyane, ainsi que de la </w:t>
      </w:r>
      <w:r w:rsidRPr="00A45103">
        <w:rPr>
          <w:rFonts w:eastAsia="Times New Roman" w:cs="Times New Roman"/>
          <w:bCs/>
          <w:lang w:eastAsia="fr-FR"/>
        </w:rPr>
        <w:t>formation continue des enseignants</w:t>
      </w:r>
      <w:r w:rsidR="00D1531B" w:rsidRPr="00A45103">
        <w:rPr>
          <w:rFonts w:eastAsia="Times New Roman" w:cs="Times New Roman"/>
          <w:bCs/>
          <w:lang w:eastAsia="fr-FR"/>
        </w:rPr>
        <w:t xml:space="preserve"> des</w:t>
      </w:r>
      <w:r w:rsidRPr="00A45103">
        <w:rPr>
          <w:rFonts w:eastAsia="Times New Roman" w:cs="Times New Roman"/>
          <w:bCs/>
          <w:lang w:eastAsia="fr-FR"/>
        </w:rPr>
        <w:t xml:space="preserve"> 1</w:t>
      </w:r>
      <w:r w:rsidRPr="00A45103">
        <w:rPr>
          <w:rFonts w:eastAsia="Times New Roman" w:cs="Times New Roman"/>
          <w:bCs/>
          <w:vertAlign w:val="superscript"/>
          <w:lang w:eastAsia="fr-FR"/>
        </w:rPr>
        <w:t>er</w:t>
      </w:r>
      <w:r w:rsidRPr="00A45103">
        <w:rPr>
          <w:rFonts w:eastAsia="Times New Roman" w:cs="Times New Roman"/>
          <w:bCs/>
          <w:lang w:eastAsia="fr-FR"/>
        </w:rPr>
        <w:t xml:space="preserve"> et 2</w:t>
      </w:r>
      <w:r w:rsidRPr="00A45103">
        <w:rPr>
          <w:rFonts w:eastAsia="Times New Roman" w:cs="Times New Roman"/>
          <w:bCs/>
          <w:vertAlign w:val="superscript"/>
          <w:lang w:eastAsia="fr-FR"/>
        </w:rPr>
        <w:t>nd</w:t>
      </w:r>
      <w:r w:rsidRPr="00A45103">
        <w:rPr>
          <w:rFonts w:eastAsia="Times New Roman" w:cs="Times New Roman"/>
          <w:bCs/>
          <w:lang w:eastAsia="fr-FR"/>
        </w:rPr>
        <w:t xml:space="preserve"> degré</w:t>
      </w:r>
      <w:r w:rsidR="003453C1" w:rsidRPr="00A45103">
        <w:rPr>
          <w:rFonts w:eastAsia="Times New Roman" w:cs="Times New Roman"/>
          <w:bCs/>
          <w:lang w:eastAsia="fr-FR"/>
        </w:rPr>
        <w:t>s</w:t>
      </w:r>
      <w:r w:rsidR="003017A1" w:rsidRPr="00A45103">
        <w:rPr>
          <w:rFonts w:eastAsia="Times New Roman" w:cs="Times New Roman"/>
          <w:bCs/>
          <w:lang w:eastAsia="fr-FR"/>
        </w:rPr>
        <w:t xml:space="preserve">. </w:t>
      </w:r>
      <w:r w:rsidR="003017A1" w:rsidRPr="00A45103">
        <w:rPr>
          <w:rFonts w:eastAsia="Times New Roman" w:cs="Times New Roman"/>
          <w:lang w:eastAsia="fr-FR"/>
        </w:rPr>
        <w:t>L</w:t>
      </w:r>
      <w:r w:rsidRPr="00A45103">
        <w:rPr>
          <w:rFonts w:eastAsia="Times New Roman" w:cs="Times New Roman"/>
          <w:lang w:eastAsia="fr-FR"/>
        </w:rPr>
        <w:t xml:space="preserve">a recherche </w:t>
      </w:r>
      <w:r w:rsidR="003017A1" w:rsidRPr="00A45103">
        <w:rPr>
          <w:rFonts w:eastAsia="Times New Roman" w:cs="Times New Roman"/>
          <w:lang w:eastAsia="fr-FR"/>
        </w:rPr>
        <w:t xml:space="preserve">en éducation sera placée </w:t>
      </w:r>
      <w:r w:rsidRPr="00A45103">
        <w:rPr>
          <w:rFonts w:eastAsia="Times New Roman" w:cs="Times New Roman"/>
          <w:lang w:eastAsia="fr-FR"/>
        </w:rPr>
        <w:t>au cœur de la formation</w:t>
      </w:r>
      <w:r w:rsidR="003017A1" w:rsidRPr="00A45103">
        <w:rPr>
          <w:rFonts w:eastAsia="Times New Roman" w:cs="Times New Roman"/>
          <w:lang w:eastAsia="fr-FR"/>
        </w:rPr>
        <w:t>,</w:t>
      </w:r>
      <w:r w:rsidRPr="00A45103">
        <w:rPr>
          <w:rFonts w:eastAsia="Times New Roman" w:cs="Times New Roman"/>
          <w:lang w:eastAsia="fr-FR"/>
        </w:rPr>
        <w:t xml:space="preserve"> à travers une démarche</w:t>
      </w:r>
      <w:r w:rsidR="00F12A52" w:rsidRPr="00A45103">
        <w:rPr>
          <w:rFonts w:eastAsia="Times New Roman" w:cs="Times New Roman"/>
          <w:lang w:eastAsia="fr-FR"/>
        </w:rPr>
        <w:t xml:space="preserve"> fondée sur la preuve d'efficacité de</w:t>
      </w:r>
      <w:r w:rsidRPr="00A45103">
        <w:rPr>
          <w:rFonts w:eastAsia="Times New Roman" w:cs="Times New Roman"/>
          <w:lang w:eastAsia="fr-FR"/>
        </w:rPr>
        <w:t xml:space="preserve"> </w:t>
      </w:r>
      <w:r w:rsidR="00681DBE" w:rsidRPr="00A45103">
        <w:rPr>
          <w:rStyle w:val="e24kjd"/>
        </w:rPr>
        <w:t>pratique</w:t>
      </w:r>
      <w:r w:rsidR="00FF4AAC" w:rsidRPr="00A45103">
        <w:rPr>
          <w:rStyle w:val="e24kjd"/>
        </w:rPr>
        <w:t>s</w:t>
      </w:r>
      <w:r w:rsidR="00681DBE" w:rsidRPr="00A45103">
        <w:rPr>
          <w:rStyle w:val="e24kjd"/>
        </w:rPr>
        <w:t xml:space="preserve"> </w:t>
      </w:r>
      <w:r w:rsidR="00F12A52" w:rsidRPr="00A45103">
        <w:rPr>
          <w:rStyle w:val="e24kjd"/>
        </w:rPr>
        <w:t xml:space="preserve">d'enseignement </w:t>
      </w:r>
      <w:r w:rsidR="00D51627" w:rsidRPr="00A45103">
        <w:rPr>
          <w:rStyle w:val="e24kjd"/>
        </w:rPr>
        <w:t>pren</w:t>
      </w:r>
      <w:r w:rsidR="00F12A52" w:rsidRPr="00A45103">
        <w:rPr>
          <w:rStyle w:val="e24kjd"/>
        </w:rPr>
        <w:t>ant</w:t>
      </w:r>
      <w:r w:rsidR="00D51627" w:rsidRPr="00A45103">
        <w:rPr>
          <w:rStyle w:val="e24kjd"/>
        </w:rPr>
        <w:t xml:space="preserve"> en</w:t>
      </w:r>
      <w:r w:rsidR="00FF4AAC" w:rsidRPr="00A45103">
        <w:rPr>
          <w:rStyle w:val="e24kjd"/>
        </w:rPr>
        <w:t xml:space="preserve"> compte à la fois d</w:t>
      </w:r>
      <w:r w:rsidR="00681DBE" w:rsidRPr="00A45103">
        <w:rPr>
          <w:rStyle w:val="e24kjd"/>
        </w:rPr>
        <w:t xml:space="preserve">es preuves, faits, </w:t>
      </w:r>
      <w:r w:rsidR="00FF4AAC" w:rsidRPr="00A45103">
        <w:rPr>
          <w:rStyle w:val="e24kjd"/>
        </w:rPr>
        <w:t xml:space="preserve">et </w:t>
      </w:r>
      <w:r w:rsidR="00681DBE" w:rsidRPr="00A45103">
        <w:rPr>
          <w:rStyle w:val="e24kjd"/>
        </w:rPr>
        <w:t>données probantes</w:t>
      </w:r>
      <w:r w:rsidR="00FF4AAC" w:rsidRPr="00A45103">
        <w:rPr>
          <w:rStyle w:val="e24kjd"/>
        </w:rPr>
        <w:t xml:space="preserve"> issues de la recherche, et des savoirs d’expérience des enseignants de terrain</w:t>
      </w:r>
      <w:r w:rsidR="00746604" w:rsidRPr="00A45103">
        <w:rPr>
          <w:rStyle w:val="e24kjd"/>
        </w:rPr>
        <w:t xml:space="preserve"> </w:t>
      </w:r>
      <w:r w:rsidR="003017A1" w:rsidRPr="00A45103">
        <w:rPr>
          <w:rStyle w:val="e24kjd"/>
        </w:rPr>
        <w:t xml:space="preserve">qui </w:t>
      </w:r>
      <w:r w:rsidRPr="00A45103">
        <w:rPr>
          <w:rFonts w:eastAsia="Times New Roman" w:cs="Times New Roman"/>
          <w:lang w:eastAsia="fr-FR"/>
        </w:rPr>
        <w:t>favoris</w:t>
      </w:r>
      <w:r w:rsidR="003017A1" w:rsidRPr="00A45103">
        <w:rPr>
          <w:rFonts w:eastAsia="Times New Roman" w:cs="Times New Roman"/>
          <w:lang w:eastAsia="fr-FR"/>
        </w:rPr>
        <w:t>e</w:t>
      </w:r>
      <w:r w:rsidRPr="00A45103">
        <w:rPr>
          <w:rFonts w:eastAsia="Times New Roman" w:cs="Times New Roman"/>
          <w:lang w:eastAsia="fr-FR"/>
        </w:rPr>
        <w:t>nt le développement professionnel des enseignants</w:t>
      </w:r>
      <w:r w:rsidR="00D51627" w:rsidRPr="00A45103">
        <w:rPr>
          <w:rFonts w:eastAsia="Times New Roman" w:cs="Times New Roman"/>
          <w:lang w:eastAsia="fr-FR"/>
        </w:rPr>
        <w:t xml:space="preserve"> et la réussite de</w:t>
      </w:r>
      <w:r w:rsidR="004451D1" w:rsidRPr="00A45103">
        <w:rPr>
          <w:rFonts w:eastAsia="Times New Roman" w:cs="Times New Roman"/>
          <w:lang w:eastAsia="fr-FR"/>
        </w:rPr>
        <w:t xml:space="preserve"> tou</w:t>
      </w:r>
      <w:r w:rsidR="00D51627" w:rsidRPr="00A45103">
        <w:rPr>
          <w:rFonts w:eastAsia="Times New Roman" w:cs="Times New Roman"/>
          <w:lang w:eastAsia="fr-FR"/>
        </w:rPr>
        <w:t xml:space="preserve">s </w:t>
      </w:r>
      <w:r w:rsidR="004451D1" w:rsidRPr="00A45103">
        <w:rPr>
          <w:rFonts w:eastAsia="Times New Roman" w:cs="Times New Roman"/>
          <w:lang w:eastAsia="fr-FR"/>
        </w:rPr>
        <w:t xml:space="preserve">les </w:t>
      </w:r>
      <w:r w:rsidR="00D51627" w:rsidRPr="00A45103">
        <w:rPr>
          <w:rFonts w:eastAsia="Times New Roman" w:cs="Times New Roman"/>
          <w:lang w:eastAsia="fr-FR"/>
        </w:rPr>
        <w:t>élèves</w:t>
      </w:r>
      <w:r w:rsidR="003017A1" w:rsidRPr="00A45103">
        <w:rPr>
          <w:rFonts w:eastAsia="Times New Roman" w:cs="Times New Roman"/>
          <w:lang w:eastAsia="fr-FR"/>
        </w:rPr>
        <w:t xml:space="preserve"> </w:t>
      </w:r>
      <w:r w:rsidR="003017A1" w:rsidRPr="00A45103">
        <w:rPr>
          <w:rStyle w:val="e24kjd"/>
        </w:rPr>
        <w:t>(pratiques dites « </w:t>
      </w:r>
      <w:proofErr w:type="spellStart"/>
      <w:r w:rsidR="003017A1" w:rsidRPr="00A45103">
        <w:rPr>
          <w:rStyle w:val="e24kjd"/>
        </w:rPr>
        <w:t>evidence-based</w:t>
      </w:r>
      <w:proofErr w:type="spellEnd"/>
      <w:r w:rsidR="003017A1" w:rsidRPr="00A45103">
        <w:rPr>
          <w:rStyle w:val="e24kjd"/>
        </w:rPr>
        <w:t> »)</w:t>
      </w:r>
      <w:r w:rsidRPr="00A45103">
        <w:rPr>
          <w:rFonts w:eastAsia="Times New Roman" w:cs="Times New Roman"/>
          <w:lang w:eastAsia="fr-FR"/>
        </w:rPr>
        <w:t xml:space="preserve">. Le Pôle impulsera également deux actions de recherche, la première dédiée à la </w:t>
      </w:r>
      <w:r w:rsidRPr="00A45103">
        <w:rPr>
          <w:rFonts w:eastAsia="Times New Roman" w:cs="Times New Roman"/>
          <w:bCs/>
          <w:lang w:eastAsia="fr-FR"/>
        </w:rPr>
        <w:t>R&amp;D collaborative</w:t>
      </w:r>
      <w:r w:rsidRPr="00A45103">
        <w:rPr>
          <w:rFonts w:eastAsia="Times New Roman" w:cs="Times New Roman"/>
          <w:lang w:eastAsia="fr-FR"/>
        </w:rPr>
        <w:t xml:space="preserve"> pour produire des ressources directement utiles au terrain</w:t>
      </w:r>
      <w:r w:rsidR="00FF4AAC" w:rsidRPr="00A45103">
        <w:rPr>
          <w:rFonts w:eastAsia="Times New Roman" w:cs="Times New Roman"/>
          <w:lang w:eastAsia="fr-FR"/>
        </w:rPr>
        <w:t xml:space="preserve"> et validées à la fois par les chercheurs et les enseignants</w:t>
      </w:r>
      <w:r w:rsidRPr="00A45103">
        <w:rPr>
          <w:rFonts w:eastAsia="Times New Roman" w:cs="Times New Roman"/>
          <w:lang w:eastAsia="fr-FR"/>
        </w:rPr>
        <w:t xml:space="preserve">, la seconde permettant de tester l’efficacité de nouvelles pratiques enseignantes au travers d’un </w:t>
      </w:r>
      <w:r w:rsidRPr="00A45103">
        <w:rPr>
          <w:rFonts w:eastAsia="Times New Roman" w:cs="Times New Roman"/>
          <w:bCs/>
          <w:lang w:eastAsia="fr-FR"/>
        </w:rPr>
        <w:t>programme ambitieux de suivi longitudinal de cohortes d’élèves sur 6 ans</w:t>
      </w:r>
      <w:r w:rsidRPr="00A45103">
        <w:rPr>
          <w:rFonts w:eastAsia="Times New Roman" w:cs="Times New Roman"/>
          <w:lang w:eastAsia="fr-FR"/>
        </w:rPr>
        <w:t xml:space="preserve">. </w:t>
      </w:r>
      <w:r w:rsidR="00F12A52" w:rsidRPr="00A45103">
        <w:rPr>
          <w:rFonts w:eastAsia="Times New Roman" w:cs="Times New Roman"/>
          <w:lang w:eastAsia="fr-FR"/>
        </w:rPr>
        <w:t>Les résultats de ces deux actions alimenteront pro</w:t>
      </w:r>
      <w:r w:rsidR="00F12A52" w:rsidRPr="00A45103">
        <w:rPr>
          <w:rFonts w:eastAsia="Times New Roman" w:cs="Times New Roman"/>
          <w:lang w:eastAsia="fr-FR"/>
        </w:rPr>
        <w:lastRenderedPageBreak/>
        <w:t>gressivement les transformations de l'offre de formation initiale et continue des enseignants.</w:t>
      </w:r>
      <w:r w:rsidR="00F12A52" w:rsidRPr="00C53D29">
        <w:rPr>
          <w:rFonts w:eastAsia="Times New Roman" w:cs="Times New Roman"/>
          <w:lang w:eastAsia="fr-FR"/>
        </w:rPr>
        <w:t xml:space="preserve"> </w:t>
      </w:r>
      <w:r w:rsidRPr="00C53D29">
        <w:rPr>
          <w:rFonts w:eastAsia="Times New Roman" w:cs="Times New Roman"/>
          <w:lang w:eastAsia="fr-FR"/>
        </w:rPr>
        <w:t>La d</w:t>
      </w:r>
      <w:r>
        <w:rPr>
          <w:rFonts w:eastAsia="Times New Roman" w:cs="Times New Roman"/>
          <w:lang w:eastAsia="fr-FR"/>
        </w:rPr>
        <w:t xml:space="preserve">ernière action consistera en une </w:t>
      </w:r>
      <w:r w:rsidRPr="003D3D1B">
        <w:rPr>
          <w:rFonts w:eastAsia="Times New Roman" w:cs="Times New Roman"/>
          <w:bCs/>
          <w:lang w:eastAsia="fr-FR"/>
        </w:rPr>
        <w:t>dissémination large</w:t>
      </w:r>
      <w:r w:rsidRPr="00ED2725">
        <w:rPr>
          <w:rFonts w:eastAsia="Times New Roman" w:cs="Times New Roman"/>
          <w:lang w:eastAsia="fr-FR"/>
        </w:rPr>
        <w:t xml:space="preserve"> des ressources produites s’appu</w:t>
      </w:r>
      <w:r>
        <w:rPr>
          <w:rFonts w:eastAsia="Times New Roman" w:cs="Times New Roman"/>
          <w:lang w:eastAsia="fr-FR"/>
        </w:rPr>
        <w:t>yant</w:t>
      </w:r>
      <w:r w:rsidRPr="00ED2725">
        <w:rPr>
          <w:rFonts w:eastAsia="Times New Roman" w:cs="Times New Roman"/>
          <w:lang w:eastAsia="fr-FR"/>
        </w:rPr>
        <w:t xml:space="preserve"> sur une stratégie de diffusion multi-canal (site web, plateformes fréquentées par les enseignants, édition d’ouvrages) et des événements organisés régulièrement sur l’ensemble du territoire.</w:t>
      </w:r>
    </w:p>
    <w:p w14:paraId="1167302B" w14:textId="77777777" w:rsidR="00AD594B" w:rsidRPr="00ED2725" w:rsidRDefault="00AD594B" w:rsidP="00FB4221">
      <w:pPr>
        <w:spacing w:before="100" w:beforeAutospacing="1" w:after="100" w:afterAutospacing="1" w:line="240" w:lineRule="auto"/>
        <w:jc w:val="both"/>
        <w:rPr>
          <w:rFonts w:eastAsia="Times New Roman" w:cs="Times New Roman"/>
          <w:lang w:eastAsia="fr-FR"/>
        </w:rPr>
      </w:pPr>
      <w:r w:rsidRPr="00ED2725">
        <w:rPr>
          <w:rFonts w:eastAsia="Times New Roman" w:cs="Times New Roman"/>
          <w:lang w:eastAsia="fr-FR"/>
        </w:rPr>
        <w:t>PEGASE en quelques chiffres, c’est :</w:t>
      </w:r>
    </w:p>
    <w:p w14:paraId="3EAF89B5" w14:textId="77777777" w:rsidR="00AD594B" w:rsidRPr="00ED2725" w:rsidRDefault="00AD594B" w:rsidP="00FB4221">
      <w:pPr>
        <w:numPr>
          <w:ilvl w:val="0"/>
          <w:numId w:val="2"/>
        </w:numPr>
        <w:spacing w:before="100" w:beforeAutospacing="1" w:after="100" w:afterAutospacing="1" w:line="240" w:lineRule="auto"/>
        <w:jc w:val="both"/>
        <w:rPr>
          <w:rFonts w:eastAsia="Times New Roman" w:cs="Times New Roman"/>
          <w:lang w:eastAsia="fr-FR"/>
        </w:rPr>
      </w:pPr>
      <w:r w:rsidRPr="00ED2725">
        <w:rPr>
          <w:rFonts w:eastAsia="Times New Roman" w:cs="Times New Roman"/>
          <w:lang w:eastAsia="fr-FR"/>
        </w:rPr>
        <w:t>2 universités : Université Grenoble Alpes et Université Savoie Mont Blanc,</w:t>
      </w:r>
    </w:p>
    <w:p w14:paraId="6F42C569" w14:textId="77777777" w:rsidR="00F12A52" w:rsidRDefault="00F12A52" w:rsidP="00FB4221">
      <w:pPr>
        <w:numPr>
          <w:ilvl w:val="0"/>
          <w:numId w:val="2"/>
        </w:numPr>
        <w:spacing w:before="100" w:beforeAutospacing="1" w:after="100" w:afterAutospacing="1" w:line="240" w:lineRule="auto"/>
        <w:jc w:val="both"/>
        <w:rPr>
          <w:rFonts w:eastAsia="Times New Roman" w:cs="Times New Roman"/>
          <w:lang w:eastAsia="fr-FR"/>
        </w:rPr>
      </w:pPr>
      <w:r w:rsidRPr="00ED2725">
        <w:rPr>
          <w:rFonts w:eastAsia="Times New Roman" w:cs="Times New Roman"/>
          <w:lang w:eastAsia="fr-FR"/>
        </w:rPr>
        <w:t>2 académies : Grenoble et La Guyane,</w:t>
      </w:r>
    </w:p>
    <w:p w14:paraId="6F9C331F" w14:textId="77777777" w:rsidR="00AD594B" w:rsidRPr="00ED2725" w:rsidRDefault="00AD594B" w:rsidP="00FB4221">
      <w:pPr>
        <w:numPr>
          <w:ilvl w:val="0"/>
          <w:numId w:val="2"/>
        </w:numPr>
        <w:spacing w:before="100" w:beforeAutospacing="1" w:after="100" w:afterAutospacing="1" w:line="240" w:lineRule="auto"/>
        <w:jc w:val="both"/>
        <w:rPr>
          <w:rFonts w:eastAsia="Times New Roman" w:cs="Times New Roman"/>
          <w:lang w:eastAsia="fr-FR"/>
        </w:rPr>
      </w:pPr>
      <w:r w:rsidRPr="00ED2725">
        <w:rPr>
          <w:rFonts w:eastAsia="Times New Roman" w:cs="Times New Roman"/>
          <w:lang w:eastAsia="fr-FR"/>
        </w:rPr>
        <w:t>9 laboratoires de recherche dont 6 UMR CNRS,</w:t>
      </w:r>
    </w:p>
    <w:p w14:paraId="56620E58" w14:textId="77777777" w:rsidR="00AD594B" w:rsidRPr="00ED2725" w:rsidRDefault="00AD594B" w:rsidP="00FB4221">
      <w:pPr>
        <w:numPr>
          <w:ilvl w:val="0"/>
          <w:numId w:val="2"/>
        </w:numPr>
        <w:spacing w:before="100" w:beforeAutospacing="1" w:after="100" w:afterAutospacing="1" w:line="240" w:lineRule="auto"/>
        <w:jc w:val="both"/>
        <w:rPr>
          <w:rFonts w:eastAsia="Times New Roman" w:cs="Times New Roman"/>
          <w:lang w:eastAsia="fr-FR"/>
        </w:rPr>
      </w:pPr>
      <w:r w:rsidRPr="00ED2725">
        <w:rPr>
          <w:rFonts w:eastAsia="Times New Roman" w:cs="Times New Roman"/>
          <w:lang w:eastAsia="fr-FR"/>
        </w:rPr>
        <w:t>66 chercheurs ou enseignants-chercheurs,</w:t>
      </w:r>
    </w:p>
    <w:p w14:paraId="0ACD16F8" w14:textId="2627F71C" w:rsidR="00AD594B" w:rsidRPr="00ED2725" w:rsidRDefault="00AD594B" w:rsidP="00FB4221">
      <w:pPr>
        <w:numPr>
          <w:ilvl w:val="0"/>
          <w:numId w:val="2"/>
        </w:numPr>
        <w:spacing w:before="100" w:beforeAutospacing="1" w:after="100" w:afterAutospacing="1" w:line="240" w:lineRule="auto"/>
        <w:jc w:val="both"/>
        <w:rPr>
          <w:rFonts w:eastAsia="Times New Roman" w:cs="Times New Roman"/>
          <w:lang w:eastAsia="fr-FR"/>
        </w:rPr>
      </w:pPr>
      <w:r w:rsidRPr="00ED2725">
        <w:rPr>
          <w:rFonts w:eastAsia="Times New Roman" w:cs="Times New Roman"/>
          <w:lang w:eastAsia="fr-FR"/>
        </w:rPr>
        <w:t>66 structures scolaires du premier et du second degré</w:t>
      </w:r>
      <w:r w:rsidR="0065333C">
        <w:rPr>
          <w:rFonts w:eastAsia="Times New Roman" w:cs="Times New Roman"/>
          <w:lang w:eastAsia="fr-FR"/>
        </w:rPr>
        <w:t>s</w:t>
      </w:r>
      <w:r w:rsidRPr="00ED2725">
        <w:rPr>
          <w:rFonts w:eastAsia="Times New Roman" w:cs="Times New Roman"/>
          <w:lang w:eastAsia="fr-FR"/>
        </w:rPr>
        <w:t>,</w:t>
      </w:r>
    </w:p>
    <w:p w14:paraId="335A8A4E" w14:textId="5CC3B6A9" w:rsidR="00AD594B" w:rsidRPr="00ED2725" w:rsidRDefault="00AD594B" w:rsidP="00FB4221">
      <w:pPr>
        <w:numPr>
          <w:ilvl w:val="0"/>
          <w:numId w:val="2"/>
        </w:numPr>
        <w:spacing w:before="100" w:beforeAutospacing="1" w:after="100" w:afterAutospacing="1" w:line="240" w:lineRule="auto"/>
        <w:jc w:val="both"/>
        <w:rPr>
          <w:rFonts w:eastAsia="Times New Roman" w:cs="Times New Roman"/>
          <w:lang w:eastAsia="fr-FR"/>
        </w:rPr>
      </w:pPr>
      <w:r w:rsidRPr="00ED2725">
        <w:rPr>
          <w:rFonts w:eastAsia="Times New Roman" w:cs="Times New Roman"/>
          <w:lang w:eastAsia="fr-FR"/>
        </w:rPr>
        <w:t xml:space="preserve">2 INSPE : </w:t>
      </w:r>
      <w:r w:rsidR="001B5B32">
        <w:rPr>
          <w:rFonts w:eastAsia="Times New Roman" w:cs="Times New Roman"/>
          <w:lang w:eastAsia="fr-FR"/>
        </w:rPr>
        <w:t xml:space="preserve">Académies de </w:t>
      </w:r>
      <w:r w:rsidRPr="00ED2725">
        <w:rPr>
          <w:rFonts w:eastAsia="Times New Roman" w:cs="Times New Roman"/>
          <w:lang w:eastAsia="fr-FR"/>
        </w:rPr>
        <w:t>Grenoble et Guyane,</w:t>
      </w:r>
    </w:p>
    <w:p w14:paraId="33789ACB" w14:textId="77777777" w:rsidR="00AD594B" w:rsidRPr="00ED2725" w:rsidRDefault="00AD594B" w:rsidP="00FB4221">
      <w:pPr>
        <w:numPr>
          <w:ilvl w:val="0"/>
          <w:numId w:val="2"/>
        </w:numPr>
        <w:spacing w:before="100" w:beforeAutospacing="1" w:after="100" w:afterAutospacing="1" w:line="240" w:lineRule="auto"/>
        <w:jc w:val="both"/>
        <w:rPr>
          <w:rFonts w:eastAsia="Times New Roman" w:cs="Times New Roman"/>
          <w:lang w:eastAsia="fr-FR"/>
        </w:rPr>
      </w:pPr>
      <w:r w:rsidRPr="00ED2725">
        <w:rPr>
          <w:rFonts w:eastAsia="Times New Roman" w:cs="Times New Roman"/>
          <w:lang w:eastAsia="fr-FR"/>
        </w:rPr>
        <w:t>5 partenaires extérieurs,</w:t>
      </w:r>
    </w:p>
    <w:p w14:paraId="34D72A06" w14:textId="77777777" w:rsidR="00AD594B" w:rsidRPr="00ED2725" w:rsidRDefault="00AD594B" w:rsidP="00FB4221">
      <w:pPr>
        <w:numPr>
          <w:ilvl w:val="0"/>
          <w:numId w:val="2"/>
        </w:numPr>
        <w:spacing w:before="100" w:beforeAutospacing="1" w:after="100" w:afterAutospacing="1" w:line="240" w:lineRule="auto"/>
        <w:jc w:val="both"/>
        <w:rPr>
          <w:rFonts w:eastAsia="Times New Roman" w:cs="Times New Roman"/>
          <w:lang w:eastAsia="fr-FR"/>
        </w:rPr>
      </w:pPr>
      <w:r w:rsidRPr="00ED2725">
        <w:rPr>
          <w:rFonts w:eastAsia="Times New Roman" w:cs="Times New Roman"/>
          <w:lang w:eastAsia="fr-FR"/>
        </w:rPr>
        <w:t>15 soutiens (dont le CNRS-INSHS, le Conseil Régional Auvergne-Rhône-Alpes</w:t>
      </w:r>
      <w:r w:rsidR="00FB4221">
        <w:rPr>
          <w:rFonts w:eastAsia="Times New Roman" w:cs="Times New Roman"/>
          <w:lang w:eastAsia="fr-FR"/>
        </w:rPr>
        <w:t xml:space="preserve">, </w:t>
      </w:r>
      <w:r w:rsidR="00754768">
        <w:rPr>
          <w:rFonts w:eastAsia="Times New Roman" w:cs="Times New Roman"/>
          <w:lang w:eastAsia="fr-FR"/>
        </w:rPr>
        <w:t xml:space="preserve">la ville de Grenoble, </w:t>
      </w:r>
      <w:r w:rsidRPr="00ED2725">
        <w:rPr>
          <w:rFonts w:eastAsia="Times New Roman" w:cs="Times New Roman"/>
          <w:lang w:eastAsia="fr-FR"/>
        </w:rPr>
        <w:t>le Centre de Transfert pour la Réussite Educative du Québec).</w:t>
      </w:r>
    </w:p>
    <w:p w14:paraId="25FA1170" w14:textId="6B120127" w:rsidR="00F12A52" w:rsidRDefault="00AD594B" w:rsidP="00FB4221">
      <w:pPr>
        <w:spacing w:before="100" w:beforeAutospacing="1" w:after="100" w:afterAutospacing="1" w:line="240" w:lineRule="auto"/>
        <w:jc w:val="both"/>
        <w:rPr>
          <w:rFonts w:eastAsia="Times New Roman" w:cs="Times New Roman"/>
          <w:lang w:eastAsia="fr-FR"/>
        </w:rPr>
      </w:pPr>
      <w:r>
        <w:rPr>
          <w:rFonts w:eastAsia="Times New Roman" w:cs="Times New Roman"/>
          <w:lang w:eastAsia="fr-FR"/>
        </w:rPr>
        <w:t>À</w:t>
      </w:r>
      <w:r w:rsidRPr="00ED2725">
        <w:rPr>
          <w:rFonts w:eastAsia="Times New Roman" w:cs="Times New Roman"/>
          <w:lang w:eastAsia="fr-FR"/>
        </w:rPr>
        <w:t xml:space="preserve"> l’horizon de 10 ans, les actions du pôle auront contribué à </w:t>
      </w:r>
      <w:r w:rsidRPr="003D3D1B">
        <w:rPr>
          <w:rFonts w:eastAsia="Times New Roman" w:cs="Times New Roman"/>
          <w:bCs/>
          <w:lang w:eastAsia="fr-FR"/>
        </w:rPr>
        <w:t>transformer et enrichir les pratiques de plus de la moitié des enseignants</w:t>
      </w:r>
      <w:r w:rsidRPr="00ED2725">
        <w:rPr>
          <w:rFonts w:eastAsia="Times New Roman" w:cs="Times New Roman"/>
          <w:lang w:eastAsia="fr-FR"/>
        </w:rPr>
        <w:t xml:space="preserve"> des 2 académies, en s’appuyant notamment sur une présence en proximité dans les territoires </w:t>
      </w:r>
      <w:r w:rsidR="00FF4AAC">
        <w:rPr>
          <w:rFonts w:eastAsia="Times New Roman" w:cs="Times New Roman"/>
          <w:lang w:eastAsia="fr-FR"/>
        </w:rPr>
        <w:t>(</w:t>
      </w:r>
      <w:proofErr w:type="spellStart"/>
      <w:r w:rsidR="00FF4AAC">
        <w:rPr>
          <w:rFonts w:eastAsia="Times New Roman" w:cs="Times New Roman"/>
          <w:lang w:eastAsia="fr-FR"/>
        </w:rPr>
        <w:t>EducLabs</w:t>
      </w:r>
      <w:proofErr w:type="spellEnd"/>
      <w:r w:rsidR="00FF4AAC">
        <w:rPr>
          <w:rFonts w:eastAsia="Times New Roman" w:cs="Times New Roman"/>
          <w:lang w:eastAsia="fr-FR"/>
        </w:rPr>
        <w:t xml:space="preserve">) </w:t>
      </w:r>
      <w:r w:rsidRPr="00ED2725">
        <w:rPr>
          <w:rFonts w:eastAsia="Times New Roman" w:cs="Times New Roman"/>
          <w:lang w:eastAsia="fr-FR"/>
        </w:rPr>
        <w:t>et sur l’effet levier de la formation des formateurs</w:t>
      </w:r>
      <w:r w:rsidR="00C53D29">
        <w:rPr>
          <w:rFonts w:eastAsia="Times New Roman" w:cs="Times New Roman"/>
          <w:lang w:eastAsia="fr-FR"/>
        </w:rPr>
        <w:t>.</w:t>
      </w:r>
    </w:p>
    <w:p w14:paraId="057BCCD5" w14:textId="77777777" w:rsidR="008E6655" w:rsidRDefault="008E6655" w:rsidP="00FB4221">
      <w:pPr>
        <w:spacing w:before="100" w:beforeAutospacing="1" w:after="100" w:afterAutospacing="1" w:line="240" w:lineRule="auto"/>
        <w:jc w:val="both"/>
        <w:rPr>
          <w:rFonts w:eastAsia="Times New Roman" w:cs="Times New Roman"/>
          <w:lang w:eastAsia="fr-FR"/>
        </w:rPr>
      </w:pPr>
      <w:r>
        <w:rPr>
          <w:rFonts w:eastAsia="Times New Roman" w:cs="Times New Roman"/>
          <w:lang w:eastAsia="fr-FR"/>
        </w:rPr>
        <w:t xml:space="preserve">L’appel à projets </w:t>
      </w:r>
      <w:r w:rsidRPr="00ED2725">
        <w:rPr>
          <w:rFonts w:eastAsia="Times New Roman" w:cs="Times New Roman"/>
          <w:b/>
          <w:lang w:eastAsia="fr-FR"/>
        </w:rPr>
        <w:t>"Pôles pilotes de formation des enseignants et de recherche pour l’éducation</w:t>
      </w:r>
      <w:r>
        <w:rPr>
          <w:rFonts w:eastAsia="Times New Roman" w:cs="Times New Roman"/>
          <w:b/>
          <w:lang w:eastAsia="fr-FR"/>
        </w:rPr>
        <w:t>"</w:t>
      </w:r>
    </w:p>
    <w:p w14:paraId="796DC45E" w14:textId="77777777" w:rsidR="00A661DC" w:rsidRPr="00A661DC" w:rsidRDefault="00F304B7" w:rsidP="00FB4221">
      <w:pPr>
        <w:spacing w:before="100" w:beforeAutospacing="1" w:after="100" w:afterAutospacing="1" w:line="240" w:lineRule="auto"/>
        <w:jc w:val="both"/>
        <w:rPr>
          <w:rFonts w:eastAsia="Times New Roman" w:cs="Times New Roman"/>
          <w:lang w:eastAsia="fr-FR"/>
        </w:rPr>
      </w:pPr>
      <w:r>
        <w:rPr>
          <w:rFonts w:eastAsia="Times New Roman" w:cs="Times New Roman"/>
          <w:lang w:eastAsia="fr-FR"/>
        </w:rPr>
        <w:t>C</w:t>
      </w:r>
      <w:r w:rsidR="00A661DC" w:rsidRPr="00A661DC">
        <w:rPr>
          <w:rFonts w:eastAsia="Times New Roman" w:cs="Times New Roman"/>
          <w:lang w:eastAsia="fr-FR"/>
        </w:rPr>
        <w:t xml:space="preserve">et appel à projets </w:t>
      </w:r>
      <w:r w:rsidR="00F12A52">
        <w:rPr>
          <w:rFonts w:eastAsia="Times New Roman" w:cs="Times New Roman"/>
          <w:lang w:eastAsia="fr-FR"/>
        </w:rPr>
        <w:t>a visé</w:t>
      </w:r>
      <w:r w:rsidR="00F12A52" w:rsidRPr="00A661DC">
        <w:rPr>
          <w:rFonts w:eastAsia="Times New Roman" w:cs="Times New Roman"/>
          <w:lang w:eastAsia="fr-FR"/>
        </w:rPr>
        <w:t xml:space="preserve"> </w:t>
      </w:r>
      <w:r w:rsidR="00A661DC" w:rsidRPr="00A661DC">
        <w:rPr>
          <w:rFonts w:eastAsia="Times New Roman" w:cs="Times New Roman"/>
          <w:lang w:eastAsia="fr-FR"/>
        </w:rPr>
        <w:t xml:space="preserve">à répondre à l'enjeu majeur de la formation et, plus largement, du développement professionnel des enseignants des premier et second degrés, des personnels d'éducation et des formateurs de formateurs. L'objectif </w:t>
      </w:r>
      <w:r w:rsidR="00F12A52">
        <w:rPr>
          <w:rFonts w:eastAsia="Times New Roman" w:cs="Times New Roman"/>
          <w:lang w:eastAsia="fr-FR"/>
        </w:rPr>
        <w:t>était</w:t>
      </w:r>
      <w:r w:rsidR="00F12A52" w:rsidRPr="00A661DC">
        <w:rPr>
          <w:rFonts w:eastAsia="Times New Roman" w:cs="Times New Roman"/>
          <w:lang w:eastAsia="fr-FR"/>
        </w:rPr>
        <w:t xml:space="preserve"> </w:t>
      </w:r>
      <w:r w:rsidR="00A661DC" w:rsidRPr="00A661DC">
        <w:rPr>
          <w:rFonts w:eastAsia="Times New Roman" w:cs="Times New Roman"/>
          <w:lang w:eastAsia="fr-FR"/>
        </w:rPr>
        <w:t xml:space="preserve">de </w:t>
      </w:r>
      <w:r w:rsidR="00A661DC" w:rsidRPr="00A661DC">
        <w:rPr>
          <w:rFonts w:eastAsia="Times New Roman" w:cs="Times New Roman"/>
          <w:bCs/>
          <w:lang w:eastAsia="fr-FR"/>
        </w:rPr>
        <w:t>faciliter l'émergence de pôles organisés en réseau</w:t>
      </w:r>
      <w:r w:rsidR="00A661DC" w:rsidRPr="00A661DC">
        <w:rPr>
          <w:rFonts w:eastAsia="Times New Roman" w:cs="Times New Roman"/>
          <w:lang w:eastAsia="fr-FR"/>
        </w:rPr>
        <w:t xml:space="preserve"> s'appuyant sur la mobilisation de </w:t>
      </w:r>
      <w:r w:rsidR="00A661DC" w:rsidRPr="00A661DC">
        <w:rPr>
          <w:rFonts w:eastAsia="Times New Roman" w:cs="Times New Roman"/>
          <w:bCs/>
          <w:lang w:eastAsia="fr-FR"/>
        </w:rPr>
        <w:t>l'ensemble des parties prenantes et acteurs de la réussite éducative</w:t>
      </w:r>
      <w:r w:rsidR="00A661DC" w:rsidRPr="00A661DC">
        <w:rPr>
          <w:rFonts w:eastAsia="Times New Roman" w:cs="Times New Roman"/>
          <w:lang w:eastAsia="fr-FR"/>
        </w:rPr>
        <w:t xml:space="preserve"> (université, établissements scolaires, services académiques, etc.) autour de trois axes structurants :</w:t>
      </w:r>
    </w:p>
    <w:p w14:paraId="031344CF" w14:textId="77777777" w:rsidR="00A661DC" w:rsidRPr="00A661DC" w:rsidRDefault="00A661DC" w:rsidP="00FB4221">
      <w:pPr>
        <w:numPr>
          <w:ilvl w:val="0"/>
          <w:numId w:val="3"/>
        </w:numPr>
        <w:spacing w:before="100" w:beforeAutospacing="1" w:after="100" w:afterAutospacing="1" w:line="240" w:lineRule="auto"/>
        <w:jc w:val="both"/>
        <w:rPr>
          <w:rFonts w:eastAsia="Times New Roman" w:cs="Times New Roman"/>
          <w:lang w:eastAsia="fr-FR"/>
        </w:rPr>
      </w:pPr>
      <w:proofErr w:type="gramStart"/>
      <w:r w:rsidRPr="00A661DC">
        <w:rPr>
          <w:rFonts w:eastAsia="Times New Roman" w:cs="Times New Roman"/>
          <w:bCs/>
          <w:lang w:eastAsia="fr-FR"/>
        </w:rPr>
        <w:t>intensifier</w:t>
      </w:r>
      <w:proofErr w:type="gramEnd"/>
      <w:r w:rsidRPr="00A661DC">
        <w:rPr>
          <w:rFonts w:eastAsia="Times New Roman" w:cs="Times New Roman"/>
          <w:bCs/>
          <w:lang w:eastAsia="fr-FR"/>
        </w:rPr>
        <w:t xml:space="preserve"> la recherche pluridisciplinaire de haut niveau</w:t>
      </w:r>
      <w:r w:rsidRPr="00A661DC">
        <w:rPr>
          <w:rFonts w:eastAsia="Times New Roman" w:cs="Times New Roman"/>
          <w:lang w:eastAsia="fr-FR"/>
        </w:rPr>
        <w:t xml:space="preserve"> consacrée à l'éducation</w:t>
      </w:r>
    </w:p>
    <w:p w14:paraId="15437A04" w14:textId="77777777" w:rsidR="00A661DC" w:rsidRPr="00A661DC" w:rsidRDefault="00A661DC" w:rsidP="00FB4221">
      <w:pPr>
        <w:numPr>
          <w:ilvl w:val="0"/>
          <w:numId w:val="3"/>
        </w:numPr>
        <w:spacing w:before="100" w:beforeAutospacing="1" w:after="100" w:afterAutospacing="1" w:line="240" w:lineRule="auto"/>
        <w:jc w:val="both"/>
        <w:rPr>
          <w:rFonts w:eastAsia="Times New Roman" w:cs="Times New Roman"/>
          <w:lang w:eastAsia="fr-FR"/>
        </w:rPr>
      </w:pPr>
      <w:proofErr w:type="gramStart"/>
      <w:r w:rsidRPr="00A661DC">
        <w:rPr>
          <w:rFonts w:eastAsia="Times New Roman" w:cs="Times New Roman"/>
          <w:bCs/>
          <w:lang w:eastAsia="fr-FR"/>
        </w:rPr>
        <w:lastRenderedPageBreak/>
        <w:t>accélérer</w:t>
      </w:r>
      <w:proofErr w:type="gramEnd"/>
      <w:r w:rsidRPr="00A661DC">
        <w:rPr>
          <w:rFonts w:eastAsia="Times New Roman" w:cs="Times New Roman"/>
          <w:bCs/>
          <w:lang w:eastAsia="fr-FR"/>
        </w:rPr>
        <w:t xml:space="preserve"> le transfert des résultats de la recherche vers les instituts nationaux supérieurs du professorat et de l'éducation (INSPE)</w:t>
      </w:r>
      <w:r w:rsidRPr="00A661DC">
        <w:rPr>
          <w:rFonts w:eastAsia="Times New Roman" w:cs="Times New Roman"/>
          <w:lang w:eastAsia="fr-FR"/>
        </w:rPr>
        <w:t>, afin d'irriguer la formation initiale et continue des enseignants</w:t>
      </w:r>
    </w:p>
    <w:p w14:paraId="58ACA380" w14:textId="77777777" w:rsidR="00A661DC" w:rsidRPr="00A661DC" w:rsidRDefault="00A661DC" w:rsidP="00FB4221">
      <w:pPr>
        <w:numPr>
          <w:ilvl w:val="0"/>
          <w:numId w:val="3"/>
        </w:numPr>
        <w:spacing w:before="100" w:beforeAutospacing="1" w:after="100" w:afterAutospacing="1" w:line="240" w:lineRule="auto"/>
        <w:jc w:val="both"/>
        <w:rPr>
          <w:rFonts w:eastAsia="Times New Roman" w:cs="Times New Roman"/>
          <w:lang w:eastAsia="fr-FR"/>
        </w:rPr>
      </w:pPr>
      <w:proofErr w:type="gramStart"/>
      <w:r w:rsidRPr="00A661DC">
        <w:rPr>
          <w:rFonts w:eastAsia="Times New Roman" w:cs="Times New Roman"/>
          <w:bCs/>
          <w:lang w:eastAsia="fr-FR"/>
        </w:rPr>
        <w:t>faciliter</w:t>
      </w:r>
      <w:proofErr w:type="gramEnd"/>
      <w:r w:rsidRPr="00A661DC">
        <w:rPr>
          <w:rFonts w:eastAsia="Times New Roman" w:cs="Times New Roman"/>
          <w:bCs/>
          <w:lang w:eastAsia="fr-FR"/>
        </w:rPr>
        <w:t xml:space="preserve"> l'expérimentation et la diffusion des meilleures pratiques pédagogiques</w:t>
      </w:r>
      <w:r w:rsidRPr="00A661DC">
        <w:rPr>
          <w:rFonts w:eastAsia="Times New Roman" w:cs="Times New Roman"/>
          <w:lang w:eastAsia="fr-FR"/>
        </w:rPr>
        <w:t xml:space="preserve"> dans les écoles, les collèges et les lycées constitués en réseaux, en lien étroit avec les services académiques.</w:t>
      </w:r>
    </w:p>
    <w:p w14:paraId="7209513F" w14:textId="77777777" w:rsidR="00A661DC" w:rsidRPr="00A661DC" w:rsidRDefault="00A661DC" w:rsidP="00FB4221">
      <w:pPr>
        <w:spacing w:before="100" w:beforeAutospacing="1" w:after="100" w:afterAutospacing="1" w:line="240" w:lineRule="auto"/>
        <w:jc w:val="both"/>
        <w:rPr>
          <w:rFonts w:eastAsia="Times New Roman" w:cs="Times New Roman"/>
          <w:lang w:eastAsia="fr-FR"/>
        </w:rPr>
      </w:pPr>
      <w:r w:rsidRPr="00A661DC">
        <w:rPr>
          <w:rFonts w:eastAsia="Times New Roman" w:cs="Times New Roman"/>
          <w:lang w:eastAsia="fr-FR"/>
        </w:rPr>
        <w:t xml:space="preserve">Les </w:t>
      </w:r>
      <w:r w:rsidR="00C53D29">
        <w:rPr>
          <w:rFonts w:eastAsia="Times New Roman" w:cs="Times New Roman"/>
          <w:lang w:eastAsia="fr-FR"/>
        </w:rPr>
        <w:t xml:space="preserve">trois </w:t>
      </w:r>
      <w:r w:rsidRPr="00A661DC">
        <w:rPr>
          <w:rFonts w:eastAsia="Times New Roman" w:cs="Times New Roman"/>
          <w:lang w:eastAsia="fr-FR"/>
        </w:rPr>
        <w:t>lauréats de cet appel à projets</w:t>
      </w:r>
      <w:r w:rsidR="00C53D29">
        <w:rPr>
          <w:rFonts w:eastAsia="Times New Roman" w:cs="Times New Roman"/>
          <w:lang w:eastAsia="fr-FR"/>
        </w:rPr>
        <w:t xml:space="preserve"> (Aix-Marseille Université</w:t>
      </w:r>
      <w:r w:rsidR="001B5B32">
        <w:rPr>
          <w:rFonts w:eastAsia="Times New Roman" w:cs="Times New Roman"/>
          <w:lang w:eastAsia="fr-FR"/>
        </w:rPr>
        <w:t xml:space="preserve"> avec le projet "</w:t>
      </w:r>
      <w:proofErr w:type="spellStart"/>
      <w:r w:rsidR="001B5B32">
        <w:rPr>
          <w:rFonts w:eastAsia="Times New Roman" w:cs="Times New Roman"/>
          <w:lang w:eastAsia="fr-FR"/>
        </w:rPr>
        <w:t>Ampiric</w:t>
      </w:r>
      <w:proofErr w:type="spellEnd"/>
      <w:r w:rsidR="001B5B32">
        <w:rPr>
          <w:rFonts w:eastAsia="Times New Roman" w:cs="Times New Roman"/>
          <w:lang w:eastAsia="fr-FR"/>
        </w:rPr>
        <w:t>"</w:t>
      </w:r>
      <w:r w:rsidR="00C53D29">
        <w:rPr>
          <w:rFonts w:eastAsia="Times New Roman" w:cs="Times New Roman"/>
          <w:lang w:eastAsia="fr-FR"/>
        </w:rPr>
        <w:t xml:space="preserve">, Université de Picardie </w:t>
      </w:r>
      <w:r w:rsidR="006D68B5">
        <w:rPr>
          <w:rFonts w:eastAsia="Times New Roman" w:cs="Times New Roman"/>
          <w:lang w:eastAsia="fr-FR"/>
        </w:rPr>
        <w:t xml:space="preserve">Jules Verne </w:t>
      </w:r>
      <w:r w:rsidR="001B5B32">
        <w:rPr>
          <w:rFonts w:eastAsia="Times New Roman" w:cs="Times New Roman"/>
          <w:lang w:eastAsia="fr-FR"/>
        </w:rPr>
        <w:t xml:space="preserve">avec le projet "100% inclusion, un défi, un territoire" </w:t>
      </w:r>
      <w:r w:rsidR="00C53D29">
        <w:rPr>
          <w:rFonts w:eastAsia="Times New Roman" w:cs="Times New Roman"/>
          <w:lang w:eastAsia="fr-FR"/>
        </w:rPr>
        <w:t>et Université Grenoble Alpes</w:t>
      </w:r>
      <w:r w:rsidR="001B5B32">
        <w:rPr>
          <w:rFonts w:eastAsia="Times New Roman" w:cs="Times New Roman"/>
          <w:lang w:eastAsia="fr-FR"/>
        </w:rPr>
        <w:t xml:space="preserve"> avec le projet "Pégase"</w:t>
      </w:r>
      <w:r w:rsidR="00C53D29">
        <w:rPr>
          <w:rFonts w:eastAsia="Times New Roman" w:cs="Times New Roman"/>
          <w:lang w:eastAsia="fr-FR"/>
        </w:rPr>
        <w:t>)</w:t>
      </w:r>
      <w:r w:rsidRPr="00A661DC">
        <w:rPr>
          <w:rFonts w:eastAsia="Times New Roman" w:cs="Times New Roman"/>
          <w:lang w:eastAsia="fr-FR"/>
        </w:rPr>
        <w:t xml:space="preserve"> ont été sélectionnés par un </w:t>
      </w:r>
      <w:r w:rsidRPr="00A661DC">
        <w:rPr>
          <w:rFonts w:eastAsia="Times New Roman" w:cs="Times New Roman"/>
          <w:bCs/>
          <w:lang w:eastAsia="fr-FR"/>
        </w:rPr>
        <w:t>comité indépendant d'experts français et internationaux</w:t>
      </w:r>
      <w:r w:rsidRPr="00A661DC">
        <w:rPr>
          <w:rFonts w:eastAsia="Times New Roman" w:cs="Times New Roman"/>
          <w:lang w:eastAsia="fr-FR"/>
        </w:rPr>
        <w:t xml:space="preserve"> de l'enseignement scolaire, de l'enseignement supérieur et de la recherche - présidé par Marc </w:t>
      </w:r>
      <w:proofErr w:type="spellStart"/>
      <w:r w:rsidRPr="00A661DC">
        <w:rPr>
          <w:rFonts w:eastAsia="Times New Roman" w:cs="Times New Roman"/>
          <w:lang w:eastAsia="fr-FR"/>
        </w:rPr>
        <w:t>Demeuse</w:t>
      </w:r>
      <w:proofErr w:type="spellEnd"/>
      <w:r w:rsidRPr="00A661DC">
        <w:rPr>
          <w:rFonts w:eastAsia="Times New Roman" w:cs="Times New Roman"/>
          <w:lang w:eastAsia="fr-FR"/>
        </w:rPr>
        <w:t xml:space="preserve">, professeur en psychologie et statistiques, enseignant à la Faculté de Psychologie et Sciences de l'Éducation de l'Université de Mons en Belgique et co-présidé par Jean-Marc Monteil, ancien président d'université, ancien recteur et ancien DGESIP, chargé de mission sur le numérique dans l'éducation nationale, et Daniel </w:t>
      </w:r>
      <w:proofErr w:type="spellStart"/>
      <w:r w:rsidRPr="00A661DC">
        <w:rPr>
          <w:rFonts w:eastAsia="Times New Roman" w:cs="Times New Roman"/>
          <w:lang w:eastAsia="fr-FR"/>
        </w:rPr>
        <w:t>Filâtre</w:t>
      </w:r>
      <w:proofErr w:type="spellEnd"/>
      <w:r w:rsidRPr="00A661DC">
        <w:rPr>
          <w:rFonts w:eastAsia="Times New Roman" w:cs="Times New Roman"/>
          <w:lang w:eastAsia="fr-FR"/>
        </w:rPr>
        <w:t>, ancien président d'université et recteur de l'académie de Versailles de 2015 à 2018, avec la collaboration et l'expertise de la Banque des Territoires, gestionnaire du programme.</w:t>
      </w:r>
    </w:p>
    <w:p w14:paraId="6A7EBF5E" w14:textId="77777777" w:rsidR="00A661DC" w:rsidRPr="00A661DC" w:rsidRDefault="00A661DC" w:rsidP="00FB4221">
      <w:pPr>
        <w:spacing w:before="100" w:beforeAutospacing="1" w:after="100" w:afterAutospacing="1" w:line="240" w:lineRule="auto"/>
        <w:jc w:val="both"/>
        <w:rPr>
          <w:rFonts w:eastAsia="Times New Roman" w:cs="Times New Roman"/>
          <w:lang w:eastAsia="fr-FR"/>
        </w:rPr>
      </w:pPr>
      <w:r w:rsidRPr="00A661DC">
        <w:rPr>
          <w:rFonts w:eastAsia="Times New Roman" w:cs="Times New Roman"/>
          <w:lang w:eastAsia="fr-FR"/>
        </w:rPr>
        <w:t>L'évaluation des projets a été fondée sur trois principes tout au long de l'instruction :</w:t>
      </w:r>
    </w:p>
    <w:p w14:paraId="1B805F21" w14:textId="77777777" w:rsidR="00A661DC" w:rsidRPr="00A661DC" w:rsidRDefault="00A661DC" w:rsidP="00FB4221">
      <w:pPr>
        <w:numPr>
          <w:ilvl w:val="0"/>
          <w:numId w:val="4"/>
        </w:numPr>
        <w:spacing w:before="100" w:beforeAutospacing="1" w:after="100" w:afterAutospacing="1" w:line="240" w:lineRule="auto"/>
        <w:jc w:val="both"/>
        <w:rPr>
          <w:rFonts w:eastAsia="Times New Roman" w:cs="Times New Roman"/>
          <w:lang w:eastAsia="fr-FR"/>
        </w:rPr>
      </w:pPr>
      <w:proofErr w:type="gramStart"/>
      <w:r w:rsidRPr="00A661DC">
        <w:rPr>
          <w:rFonts w:eastAsia="Times New Roman" w:cs="Times New Roman"/>
          <w:lang w:eastAsia="fr-FR"/>
        </w:rPr>
        <w:t>la</w:t>
      </w:r>
      <w:proofErr w:type="gramEnd"/>
      <w:r w:rsidRPr="00A661DC">
        <w:rPr>
          <w:rFonts w:eastAsia="Times New Roman" w:cs="Times New Roman"/>
          <w:lang w:eastAsia="fr-FR"/>
        </w:rPr>
        <w:t xml:space="preserve"> qualité du dispositif de recherche proposé, apprécié sur la base des réalisations antérieures des équipes de recherche</w:t>
      </w:r>
    </w:p>
    <w:p w14:paraId="26CE30A2" w14:textId="77777777" w:rsidR="00A661DC" w:rsidRPr="00A661DC" w:rsidRDefault="00A661DC" w:rsidP="00FB4221">
      <w:pPr>
        <w:numPr>
          <w:ilvl w:val="0"/>
          <w:numId w:val="4"/>
        </w:numPr>
        <w:spacing w:before="100" w:beforeAutospacing="1" w:after="100" w:afterAutospacing="1" w:line="240" w:lineRule="auto"/>
        <w:jc w:val="both"/>
        <w:rPr>
          <w:rFonts w:eastAsia="Times New Roman" w:cs="Times New Roman"/>
          <w:lang w:eastAsia="fr-FR"/>
        </w:rPr>
      </w:pPr>
      <w:proofErr w:type="gramStart"/>
      <w:r w:rsidRPr="00A661DC">
        <w:rPr>
          <w:rFonts w:eastAsia="Times New Roman" w:cs="Times New Roman"/>
          <w:lang w:eastAsia="fr-FR"/>
        </w:rPr>
        <w:t>la</w:t>
      </w:r>
      <w:proofErr w:type="gramEnd"/>
      <w:r w:rsidRPr="00A661DC">
        <w:rPr>
          <w:rFonts w:eastAsia="Times New Roman" w:cs="Times New Roman"/>
          <w:lang w:eastAsia="fr-FR"/>
        </w:rPr>
        <w:t xml:space="preserve"> qualité et la coordination effective des équipes mobilisées, en particulier au sein de l'INSPE</w:t>
      </w:r>
    </w:p>
    <w:p w14:paraId="4F2C80CE" w14:textId="77777777" w:rsidR="00A661DC" w:rsidRPr="00A661DC" w:rsidRDefault="00A661DC" w:rsidP="00FB4221">
      <w:pPr>
        <w:numPr>
          <w:ilvl w:val="0"/>
          <w:numId w:val="4"/>
        </w:numPr>
        <w:spacing w:before="100" w:beforeAutospacing="1" w:after="100" w:afterAutospacing="1" w:line="240" w:lineRule="auto"/>
        <w:jc w:val="both"/>
        <w:rPr>
          <w:rFonts w:eastAsia="Times New Roman" w:cs="Times New Roman"/>
          <w:lang w:eastAsia="fr-FR"/>
        </w:rPr>
      </w:pPr>
      <w:proofErr w:type="gramStart"/>
      <w:r w:rsidRPr="00A661DC">
        <w:rPr>
          <w:rFonts w:eastAsia="Times New Roman" w:cs="Times New Roman"/>
          <w:lang w:eastAsia="fr-FR"/>
        </w:rPr>
        <w:t>la</w:t>
      </w:r>
      <w:proofErr w:type="gramEnd"/>
      <w:r w:rsidRPr="00A661DC">
        <w:rPr>
          <w:rFonts w:eastAsia="Times New Roman" w:cs="Times New Roman"/>
          <w:lang w:eastAsia="fr-FR"/>
        </w:rPr>
        <w:t xml:space="preserve"> capacité de co-construction, de transfert et de diffusion entre les équipes de recherche, de formation et les écoles et établissements d'enseignement scolaire</w:t>
      </w:r>
    </w:p>
    <w:p w14:paraId="79564363" w14:textId="77777777" w:rsidR="00A661DC" w:rsidRDefault="00A661DC" w:rsidP="00FB4221">
      <w:pPr>
        <w:spacing w:before="100" w:beforeAutospacing="1" w:after="100" w:afterAutospacing="1" w:line="240" w:lineRule="auto"/>
        <w:jc w:val="both"/>
        <w:rPr>
          <w:rFonts w:eastAsia="Times New Roman" w:cs="Times New Roman"/>
          <w:u w:val="single"/>
          <w:lang w:eastAsia="fr-FR"/>
        </w:rPr>
      </w:pPr>
      <w:r w:rsidRPr="00A661DC">
        <w:rPr>
          <w:rFonts w:eastAsia="Times New Roman" w:cs="Times New Roman"/>
          <w:lang w:eastAsia="fr-FR"/>
        </w:rPr>
        <w:t xml:space="preserve">Après avoir instruit les treize dossiers de candidatures éligibles à cet appel à projets, le comité a reçu sept porteurs de projets en audition. Il a ensuite proposé </w:t>
      </w:r>
      <w:r w:rsidRPr="00A661DC">
        <w:rPr>
          <w:rFonts w:eastAsia="Times New Roman" w:cs="Times New Roman"/>
          <w:bCs/>
          <w:lang w:eastAsia="fr-FR"/>
        </w:rPr>
        <w:t>trois candidats à l'État</w:t>
      </w:r>
      <w:r w:rsidRPr="00A661DC">
        <w:rPr>
          <w:rFonts w:eastAsia="Times New Roman" w:cs="Times New Roman"/>
          <w:lang w:eastAsia="fr-FR"/>
        </w:rPr>
        <w:t xml:space="preserve"> pour un montant total de demande de financement de 30 M€, correspondant à la totalité de l'enveloppe dédiée à cette action. Ces trois lauréats ont été retenus par l'État et seront accompagnés tout au long de leur déploiement sur 10 ans. Ils feront ainsi l'objet d'un suivi régulier et d'évaluations de performance rigoureuses</w:t>
      </w:r>
      <w:r w:rsidRPr="005F278B">
        <w:rPr>
          <w:rFonts w:eastAsia="Times New Roman" w:cs="Times New Roman"/>
          <w:u w:val="single"/>
          <w:lang w:eastAsia="fr-FR"/>
        </w:rPr>
        <w:t>.</w:t>
      </w:r>
    </w:p>
    <w:p w14:paraId="7D642406" w14:textId="77777777" w:rsidR="00FB4221" w:rsidRDefault="005F278B" w:rsidP="00FB4221">
      <w:pPr>
        <w:spacing w:after="0" w:line="240" w:lineRule="auto"/>
        <w:jc w:val="both"/>
        <w:rPr>
          <w:rFonts w:eastAsia="Times New Roman" w:cs="Times New Roman"/>
          <w:b/>
          <w:lang w:eastAsia="fr-FR"/>
        </w:rPr>
      </w:pPr>
      <w:r w:rsidRPr="00FB4221">
        <w:rPr>
          <w:rFonts w:eastAsia="Times New Roman" w:cs="Times New Roman"/>
          <w:b/>
          <w:lang w:eastAsia="fr-FR"/>
        </w:rPr>
        <w:lastRenderedPageBreak/>
        <w:t>*PIA : Plan d’investissement d’avenir</w:t>
      </w:r>
    </w:p>
    <w:p w14:paraId="05C6EC26" w14:textId="77777777" w:rsidR="00F12A52" w:rsidRDefault="005F278B" w:rsidP="00F12A52">
      <w:pPr>
        <w:spacing w:after="0" w:line="240" w:lineRule="auto"/>
        <w:jc w:val="both"/>
      </w:pPr>
      <w:r>
        <w:t xml:space="preserve">Le Gouvernement s'est engagé dans un </w:t>
      </w:r>
      <w:hyperlink r:id="rId7" w:tgtFrame="_blank" w:history="1">
        <w:r>
          <w:rPr>
            <w:rStyle w:val="Lienhypertexte"/>
          </w:rPr>
          <w:t xml:space="preserve">Grand Plan d'Investissement </w:t>
        </w:r>
      </w:hyperlink>
      <w:r>
        <w:t>de 57 milliards d'euros, mené tout au long du quinquennat, afin d'accompagner les réformes structurelles et répondre à quatre défis majeurs de la France : la neutralité carbone, l'accès à l'emploi, la compétitivité par l'innovation et l'État numérique. D'autre part, le Programme d'Investissements d'Avenir (PIA) se poursuit au service de la compétitivité, de la croissance et de l'emploi en France. Une partie de ce programme s'inscrit dans le cadre du Grand Plan d'Investissement (GPI) présenté par le Premier ministre le 25 septembre 2017.</w:t>
      </w:r>
    </w:p>
    <w:p w14:paraId="3B5E2BEC" w14:textId="77777777" w:rsidR="005F278B" w:rsidRPr="00FB4221" w:rsidRDefault="005F278B" w:rsidP="00F12A52">
      <w:pPr>
        <w:spacing w:after="0" w:line="240" w:lineRule="auto"/>
        <w:jc w:val="both"/>
        <w:rPr>
          <w:rFonts w:eastAsia="Times New Roman" w:cs="Times New Roman"/>
          <w:b/>
          <w:lang w:eastAsia="fr-FR"/>
        </w:rPr>
      </w:pPr>
      <w:r>
        <w:t>L'action "Territoires d'innovation pédagogique", dotée de 30 M€ du PIA, est gérée par la Banque des Territoires.</w:t>
      </w:r>
    </w:p>
    <w:p w14:paraId="26C7C677" w14:textId="77777777" w:rsidR="00DB1D35" w:rsidRDefault="00DB1D35" w:rsidP="00FB4221">
      <w:pPr>
        <w:spacing w:after="0" w:line="240" w:lineRule="auto"/>
        <w:jc w:val="both"/>
        <w:rPr>
          <w:b/>
          <w:sz w:val="24"/>
          <w:szCs w:val="24"/>
        </w:rPr>
      </w:pPr>
    </w:p>
    <w:p w14:paraId="591592E1" w14:textId="20C6C064" w:rsidR="00DB1D35" w:rsidRDefault="00C16D6E" w:rsidP="00FB4221">
      <w:pPr>
        <w:spacing w:after="0" w:line="240" w:lineRule="auto"/>
        <w:jc w:val="both"/>
      </w:pPr>
      <w:r>
        <w:rPr>
          <w:noProof/>
          <w:color w:val="002060"/>
          <w:lang w:eastAsia="fr-FR"/>
        </w:rPr>
        <mc:AlternateContent>
          <mc:Choice Requires="wps">
            <w:drawing>
              <wp:anchor distT="0" distB="0" distL="114300" distR="114300" simplePos="0" relativeHeight="251658752" behindDoc="0" locked="0" layoutInCell="1" allowOverlap="1" wp14:anchorId="502B60C5" wp14:editId="56EB6D23">
                <wp:simplePos x="0" y="0"/>
                <wp:positionH relativeFrom="margin">
                  <wp:posOffset>0</wp:posOffset>
                </wp:positionH>
                <wp:positionV relativeFrom="paragraph">
                  <wp:posOffset>-635</wp:posOffset>
                </wp:positionV>
                <wp:extent cx="4507865" cy="9525"/>
                <wp:effectExtent l="0" t="0" r="6985" b="9525"/>
                <wp:wrapNone/>
                <wp:docPr id="3"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7865" cy="9525"/>
                        </a:xfrm>
                        <a:prstGeom prst="straightConnector1">
                          <a:avLst/>
                        </a:prstGeom>
                        <a:noFill/>
                        <a:ln w="9525" cap="flat" cmpd="sng">
                          <a:solidFill>
                            <a:srgbClr val="00206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7386A6B" id="_x0000_t32" coordsize="21600,21600" o:spt="32" o:oned="t" path="m,l21600,21600e" filled="f">
                <v:path arrowok="t" fillok="f" o:connecttype="none"/>
                <o:lock v:ext="edit" shapetype="t"/>
              </v:shapetype>
              <v:shape id="Connecteur droit avec flèche 2" o:spid="_x0000_s1026" type="#_x0000_t32" style="position:absolute;margin-left:0;margin-top:-.05pt;width:354.95pt;height:.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" strokecolor="#002060">
                <v:stroke joinstyle="miter"/>
                <o:lock v:ext="edit" shapetype="f"/>
                <w10:wrap anchorx="margin"/>
              </v:shape>
            </w:pict>
          </mc:Fallback>
        </mc:AlternateContent>
      </w:r>
    </w:p>
    <w:p w14:paraId="2BB09ECD" w14:textId="77777777" w:rsidR="00DB1D35" w:rsidRDefault="00DB1D35" w:rsidP="00FB4221">
      <w:pPr>
        <w:spacing w:after="0" w:line="240" w:lineRule="auto"/>
        <w:jc w:val="both"/>
        <w:rPr>
          <w:b/>
          <w:sz w:val="28"/>
          <w:szCs w:val="28"/>
        </w:rPr>
      </w:pPr>
      <w:r>
        <w:rPr>
          <w:b/>
          <w:sz w:val="28"/>
          <w:szCs w:val="28"/>
        </w:rPr>
        <w:t>À PROPOS</w:t>
      </w:r>
    </w:p>
    <w:p w14:paraId="31C8E8E1" w14:textId="77777777" w:rsidR="00DB1D35" w:rsidRDefault="00DB1D35" w:rsidP="00FB4221">
      <w:pPr>
        <w:spacing w:after="0" w:line="240" w:lineRule="auto"/>
        <w:jc w:val="both"/>
        <w:rPr>
          <w:b/>
        </w:rPr>
      </w:pPr>
    </w:p>
    <w:p w14:paraId="039AC161" w14:textId="77777777" w:rsidR="00DB1D35" w:rsidRDefault="00DB1D35" w:rsidP="00FB4221">
      <w:pPr>
        <w:spacing w:after="0" w:line="240" w:lineRule="auto"/>
        <w:jc w:val="both"/>
        <w:rPr>
          <w:b/>
        </w:rPr>
      </w:pPr>
      <w:r>
        <w:rPr>
          <w:b/>
        </w:rPr>
        <w:t>L’Université Grenoble Alpes – UGA</w:t>
      </w:r>
    </w:p>
    <w:p w14:paraId="62F95E35" w14:textId="2CC31BE5" w:rsidR="00DB1D35" w:rsidRPr="00936452" w:rsidRDefault="00DB1D35" w:rsidP="00FB4221">
      <w:pPr>
        <w:spacing w:after="0" w:line="240" w:lineRule="auto"/>
        <w:jc w:val="both"/>
      </w:pPr>
      <w:r>
        <w:t xml:space="preserve">Ancrée sur son territoire, pluridisciplinaire et ouverte à l'international, l’UGA </w:t>
      </w:r>
      <w:r w:rsidR="00C512E5">
        <w:t xml:space="preserve">change de périmètre en 2020. Elle </w:t>
      </w:r>
      <w:r>
        <w:t>réunit</w:t>
      </w:r>
      <w:r w:rsidR="00C512E5">
        <w:t xml:space="preserve"> désormais</w:t>
      </w:r>
      <w:r>
        <w:t xml:space="preserve"> Grenoble INP, Sciences Po Grenoble</w:t>
      </w:r>
      <w:r w:rsidR="00C512E5">
        <w:t>,</w:t>
      </w:r>
      <w:r w:rsidR="006D68B5">
        <w:t xml:space="preserve"> </w:t>
      </w:r>
      <w:r>
        <w:t>l’Ecole nationale d’architecture de Grenoble, les composantes de l'ancienne Université Grenoble Alpes</w:t>
      </w:r>
      <w:r w:rsidR="00C16D6E">
        <w:t xml:space="preserve"> dont l’Institut national supérieur du professorat et de l’éducation de l'Académie de Grenoble (INSPE)</w:t>
      </w:r>
      <w:r>
        <w:t xml:space="preserve"> et</w:t>
      </w:r>
      <w:r w:rsidR="00C512E5">
        <w:t xml:space="preserve"> intègre les services de</w:t>
      </w:r>
      <w:r>
        <w:t xml:space="preserve"> l</w:t>
      </w:r>
      <w:r w:rsidR="0065333C">
        <w:t>’ex-</w:t>
      </w:r>
      <w:proofErr w:type="spellStart"/>
      <w:r>
        <w:t>Comue</w:t>
      </w:r>
      <w:proofErr w:type="spellEnd"/>
      <w:r>
        <w:t xml:space="preserve"> UGA. 60 000 étudiants dont 9000 étudiants internationaux et plus de 3000 doctorants et 7500 personnels se répartissent sur plusieurs campus </w:t>
      </w:r>
      <w:r w:rsidR="003453C1">
        <w:t xml:space="preserve">dans </w:t>
      </w:r>
      <w:r>
        <w:t>les agglomérations de Grenoble et Valence principalement. Les organismes nationaux de recherche CEA, CNRS, INRIA et INSERM sont associés encore plus étroitement à l’Université Grenoble Alpes pour développer une politique commune en recherche et valorisation à l’échelle internationale.  Les relations avec l’INRAE, l’IRD et le CHU Grenoble Alpes sont également favorisées par la création de cette nouvelle université.</w:t>
      </w:r>
    </w:p>
    <w:p w14:paraId="13A00B65" w14:textId="77777777" w:rsidR="00DB1D35" w:rsidRPr="00A41DD1" w:rsidRDefault="00B92BA1" w:rsidP="00FB4221">
      <w:pPr>
        <w:spacing w:after="0" w:line="240" w:lineRule="auto"/>
        <w:jc w:val="both"/>
        <w:rPr>
          <w:b/>
          <w:color w:val="002060"/>
        </w:rPr>
      </w:pPr>
      <w:hyperlink r:id="rId8" w:history="1">
        <w:r w:rsidR="00DB1D35" w:rsidRPr="00A41DD1">
          <w:rPr>
            <w:rStyle w:val="Lienhypertexte"/>
            <w:b/>
            <w:color w:val="002060"/>
          </w:rPr>
          <w:t>https://www.univ-grenoble-alpes.fr/</w:t>
        </w:r>
      </w:hyperlink>
    </w:p>
    <w:p w14:paraId="7DE1E9FE" w14:textId="77777777" w:rsidR="00DB1D35" w:rsidRDefault="00DB1D35" w:rsidP="00DB1D35">
      <w:pPr>
        <w:spacing w:after="0" w:line="240" w:lineRule="auto"/>
      </w:pPr>
    </w:p>
    <w:p w14:paraId="69E2636C" w14:textId="77777777" w:rsidR="00E72D53" w:rsidRDefault="008E6655" w:rsidP="00E72D53">
      <w:pPr>
        <w:spacing w:after="0" w:line="240" w:lineRule="auto"/>
        <w:jc w:val="both"/>
        <w:rPr>
          <w:b/>
        </w:rPr>
      </w:pPr>
      <w:r w:rsidRPr="00FB4221">
        <w:rPr>
          <w:b/>
        </w:rPr>
        <w:t>L’Académie de Grenoble</w:t>
      </w:r>
    </w:p>
    <w:p w14:paraId="38018463" w14:textId="2D0D1DAC" w:rsidR="008E6655" w:rsidRPr="00E72D53" w:rsidRDefault="009D3952" w:rsidP="00E72D53">
      <w:pPr>
        <w:spacing w:after="0" w:line="240" w:lineRule="auto"/>
        <w:jc w:val="both"/>
        <w:rPr>
          <w:b/>
        </w:rPr>
      </w:pPr>
      <w:r>
        <w:t>L’</w:t>
      </w:r>
      <w:r w:rsidR="00C10ADC">
        <w:t>A</w:t>
      </w:r>
      <w:r>
        <w:t>cadémie de Grenoble couvre les départements de l’</w:t>
      </w:r>
      <w:r w:rsidR="00C10ADC">
        <w:t xml:space="preserve">Ardèche, </w:t>
      </w:r>
      <w:r w:rsidR="0065333C">
        <w:t xml:space="preserve">de </w:t>
      </w:r>
      <w:r w:rsidR="00C10ADC">
        <w:t>la D</w:t>
      </w:r>
      <w:r>
        <w:t xml:space="preserve">rôme, </w:t>
      </w:r>
      <w:r w:rsidR="0065333C">
        <w:t xml:space="preserve">de </w:t>
      </w:r>
      <w:r>
        <w:t>l’</w:t>
      </w:r>
      <w:r w:rsidR="00C10ADC">
        <w:t>I</w:t>
      </w:r>
      <w:r>
        <w:t xml:space="preserve">sère, </w:t>
      </w:r>
      <w:r w:rsidR="0065333C">
        <w:t xml:space="preserve">de </w:t>
      </w:r>
      <w:r>
        <w:t xml:space="preserve">la </w:t>
      </w:r>
      <w:r w:rsidR="00C10ADC">
        <w:t>S</w:t>
      </w:r>
      <w:r>
        <w:t xml:space="preserve">avoie et </w:t>
      </w:r>
      <w:r w:rsidR="0065333C">
        <w:t xml:space="preserve">de </w:t>
      </w:r>
      <w:r>
        <w:t xml:space="preserve">la </w:t>
      </w:r>
      <w:r w:rsidR="00C10ADC">
        <w:t>Haute-S</w:t>
      </w:r>
      <w:r>
        <w:t>avoie, soit 42% de la population</w:t>
      </w:r>
      <w:r w:rsidR="00C10ADC">
        <w:t xml:space="preserve"> de la région Auvergne-Rhône-A</w:t>
      </w:r>
      <w:r>
        <w:t>lpes. Elle compte 3286 établissements publics et privés du 1</w:t>
      </w:r>
      <w:r w:rsidR="00BD2267" w:rsidRPr="00C53D29">
        <w:rPr>
          <w:vertAlign w:val="superscript"/>
        </w:rPr>
        <w:t>er</w:t>
      </w:r>
      <w:r>
        <w:t xml:space="preserve"> et </w:t>
      </w:r>
      <w:r w:rsidR="00C10ADC">
        <w:t>2</w:t>
      </w:r>
      <w:r w:rsidR="00BD2267" w:rsidRPr="00C53D29">
        <w:rPr>
          <w:vertAlign w:val="superscript"/>
        </w:rPr>
        <w:t>nd</w:t>
      </w:r>
      <w:r w:rsidR="00C10ADC">
        <w:t xml:space="preserve"> </w:t>
      </w:r>
      <w:r>
        <w:t>degré</w:t>
      </w:r>
      <w:r w:rsidR="0065333C">
        <w:t>s</w:t>
      </w:r>
      <w:r>
        <w:t xml:space="preserve">. </w:t>
      </w:r>
      <w:r w:rsidR="00C10ADC">
        <w:lastRenderedPageBreak/>
        <w:t>L’enseignement supérieur rassemble deux universités :</w:t>
      </w:r>
      <w:r w:rsidR="0065333C">
        <w:t xml:space="preserve"> l’Université Grenoble Alpes et</w:t>
      </w:r>
      <w:r w:rsidR="00C10ADC">
        <w:t xml:space="preserve"> </w:t>
      </w:r>
      <w:r w:rsidR="001C317E">
        <w:t>l’Université Savoie Mont Blanc</w:t>
      </w:r>
      <w:r w:rsidR="0065333C">
        <w:t xml:space="preserve">. </w:t>
      </w:r>
      <w:r>
        <w:t>44 </w:t>
      </w:r>
      <w:r w:rsidR="0065333C">
        <w:t>500</w:t>
      </w:r>
      <w:r>
        <w:t xml:space="preserve"> </w:t>
      </w:r>
      <w:r w:rsidR="00C10ADC">
        <w:t>enseignants du 1</w:t>
      </w:r>
      <w:r w:rsidR="00C10ADC">
        <w:rPr>
          <w:vertAlign w:val="superscript"/>
        </w:rPr>
        <w:t>er</w:t>
      </w:r>
      <w:r>
        <w:t xml:space="preserve">et </w:t>
      </w:r>
      <w:r w:rsidR="00C10ADC">
        <w:t>2</w:t>
      </w:r>
      <w:r w:rsidR="00BD2267" w:rsidRPr="00C53D29">
        <w:rPr>
          <w:vertAlign w:val="superscript"/>
        </w:rPr>
        <w:t>nd</w:t>
      </w:r>
      <w:r w:rsidR="00C10ADC">
        <w:t xml:space="preserve"> degré</w:t>
      </w:r>
      <w:r w:rsidR="0065333C">
        <w:t>s</w:t>
      </w:r>
      <w:r>
        <w:t>, ainsi que 11 6</w:t>
      </w:r>
      <w:r w:rsidR="0065333C">
        <w:t>00</w:t>
      </w:r>
      <w:r>
        <w:t xml:space="preserve"> personnels (</w:t>
      </w:r>
      <w:r w:rsidR="00C10ADC">
        <w:t>encadrement</w:t>
      </w:r>
      <w:r>
        <w:t>, éduca</w:t>
      </w:r>
      <w:r w:rsidR="00C10ADC">
        <w:t xml:space="preserve">tion orientation, administratif, technique, santé et social) </w:t>
      </w:r>
      <w:r w:rsidR="0065333C">
        <w:t>œuvrent</w:t>
      </w:r>
      <w:r w:rsidR="006D188F">
        <w:t xml:space="preserve"> pour la réussite des </w:t>
      </w:r>
      <w:r>
        <w:t>342 </w:t>
      </w:r>
      <w:r w:rsidR="0065333C">
        <w:t>000</w:t>
      </w:r>
      <w:r>
        <w:t xml:space="preserve"> écoliers, 285 </w:t>
      </w:r>
      <w:r w:rsidR="0065333C">
        <w:t>000</w:t>
      </w:r>
      <w:r>
        <w:t xml:space="preserve"> collégiens et lycéens, 20 </w:t>
      </w:r>
      <w:r w:rsidR="0065333C">
        <w:t>700</w:t>
      </w:r>
      <w:r>
        <w:t xml:space="preserve"> apprentis et les 9</w:t>
      </w:r>
      <w:r w:rsidR="0065333C">
        <w:t>5 000</w:t>
      </w:r>
      <w:r>
        <w:t xml:space="preserve"> étudiants post-bac. </w:t>
      </w:r>
    </w:p>
    <w:p w14:paraId="2D4089CE" w14:textId="0BFBF664" w:rsidR="00B72460" w:rsidRPr="00E72D53" w:rsidRDefault="00B92BA1" w:rsidP="00DB1D35">
      <w:pPr>
        <w:spacing w:after="0" w:line="240" w:lineRule="auto"/>
        <w:rPr>
          <w:rStyle w:val="Lienhypertexte"/>
          <w:b/>
          <w:color w:val="002060"/>
        </w:rPr>
      </w:pPr>
      <w:hyperlink r:id="rId9" w:history="1">
        <w:r w:rsidR="00BD2267" w:rsidRPr="00E72D53">
          <w:rPr>
            <w:rStyle w:val="Lienhypertexte"/>
            <w:b/>
            <w:color w:val="002060"/>
          </w:rPr>
          <w:t>www.ac-grenoble.fr</w:t>
        </w:r>
      </w:hyperlink>
    </w:p>
    <w:p w14:paraId="5C280868" w14:textId="77777777" w:rsidR="006D188F" w:rsidRPr="00C53D29" w:rsidRDefault="006D188F" w:rsidP="00DB1D35">
      <w:pPr>
        <w:spacing w:after="0" w:line="240" w:lineRule="auto"/>
        <w:rPr>
          <w:color w:val="0070C0"/>
        </w:rPr>
      </w:pPr>
    </w:p>
    <w:p w14:paraId="1FF37463" w14:textId="63203EAB" w:rsidR="00DB1D35" w:rsidRDefault="00C16D6E" w:rsidP="00DB1D35">
      <w:pPr>
        <w:spacing w:after="0" w:line="240" w:lineRule="auto"/>
      </w:pPr>
      <w:r>
        <w:rPr>
          <w:noProof/>
          <w:lang w:eastAsia="fr-FR"/>
        </w:rPr>
        <mc:AlternateContent>
          <mc:Choice Requires="wps">
            <w:drawing>
              <wp:anchor distT="0" distB="0" distL="114300" distR="114300" simplePos="0" relativeHeight="251656704" behindDoc="0" locked="0" layoutInCell="1" allowOverlap="1" wp14:anchorId="2B2C58BC" wp14:editId="40C1BA98">
                <wp:simplePos x="0" y="0"/>
                <wp:positionH relativeFrom="margin">
                  <wp:posOffset>-38100</wp:posOffset>
                </wp:positionH>
                <wp:positionV relativeFrom="paragraph">
                  <wp:posOffset>25400</wp:posOffset>
                </wp:positionV>
                <wp:extent cx="4507865" cy="9525"/>
                <wp:effectExtent l="0" t="0" r="6985" b="9525"/>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7865" cy="9525"/>
                        </a:xfrm>
                        <a:prstGeom prst="straightConnector1">
                          <a:avLst/>
                        </a:prstGeom>
                        <a:noFill/>
                        <a:ln w="9525" cap="flat" cmpd="sng">
                          <a:solidFill>
                            <a:srgbClr val="00206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9DE443" id="Connecteur droit avec flèche 5" o:spid="_x0000_s1026" type="#_x0000_t32" style="position:absolute;margin-left:-3pt;margin-top:2pt;width:354.95pt;height:.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" strokecolor="#002060">
                <v:stroke joinstyle="miter"/>
                <o:lock v:ext="edit" shapetype="f"/>
                <w10:wrap anchorx="margin"/>
              </v:shape>
            </w:pict>
          </mc:Fallback>
        </mc:AlternateContent>
      </w:r>
    </w:p>
    <w:p w14:paraId="59C4B78E" w14:textId="77777777" w:rsidR="00DB1D35" w:rsidRDefault="00DB1D35" w:rsidP="00DB1D35">
      <w:pPr>
        <w:tabs>
          <w:tab w:val="left" w:pos="4678"/>
        </w:tabs>
        <w:spacing w:after="0" w:line="240" w:lineRule="auto"/>
        <w:ind w:right="-859"/>
        <w:rPr>
          <w:b/>
        </w:rPr>
      </w:pPr>
    </w:p>
    <w:p w14:paraId="6AC2A843" w14:textId="77777777" w:rsidR="00DB1D35" w:rsidRDefault="00DB1D35" w:rsidP="00DB1D35">
      <w:pPr>
        <w:tabs>
          <w:tab w:val="left" w:pos="4678"/>
        </w:tabs>
        <w:spacing w:after="0" w:line="240" w:lineRule="auto"/>
        <w:ind w:right="-859"/>
        <w:rPr>
          <w:b/>
          <w:sz w:val="28"/>
          <w:szCs w:val="28"/>
        </w:rPr>
      </w:pPr>
      <w:r>
        <w:rPr>
          <w:b/>
          <w:sz w:val="28"/>
          <w:szCs w:val="28"/>
        </w:rPr>
        <w:t>Contact</w:t>
      </w:r>
      <w:r w:rsidR="008E6655">
        <w:rPr>
          <w:b/>
          <w:sz w:val="28"/>
          <w:szCs w:val="28"/>
        </w:rPr>
        <w:t>s</w:t>
      </w:r>
      <w:r>
        <w:rPr>
          <w:b/>
          <w:sz w:val="28"/>
          <w:szCs w:val="28"/>
        </w:rPr>
        <w:t xml:space="preserve"> presse</w:t>
      </w:r>
    </w:p>
    <w:p w14:paraId="48BDFED6" w14:textId="77777777" w:rsidR="00DB1D35" w:rsidRDefault="00DB1D35" w:rsidP="00DB1D35">
      <w:pPr>
        <w:tabs>
          <w:tab w:val="left" w:pos="4678"/>
        </w:tabs>
        <w:spacing w:after="0" w:line="240" w:lineRule="auto"/>
        <w:ind w:right="-859"/>
        <w:rPr>
          <w:b/>
        </w:rPr>
      </w:pPr>
      <w:r>
        <w:rPr>
          <w:b/>
        </w:rPr>
        <w:t xml:space="preserve">Muriel </w:t>
      </w:r>
      <w:proofErr w:type="spellStart"/>
      <w:r>
        <w:rPr>
          <w:b/>
        </w:rPr>
        <w:t>Jakobiak</w:t>
      </w:r>
      <w:proofErr w:type="spellEnd"/>
      <w:r>
        <w:rPr>
          <w:b/>
        </w:rPr>
        <w:t xml:space="preserve">-Fontana </w:t>
      </w:r>
    </w:p>
    <w:p w14:paraId="3BE6322E" w14:textId="77777777" w:rsidR="00DB1D35" w:rsidRDefault="00DB1D35" w:rsidP="00DB1D35">
      <w:pPr>
        <w:tabs>
          <w:tab w:val="left" w:pos="4678"/>
        </w:tabs>
        <w:spacing w:after="0" w:line="240" w:lineRule="auto"/>
        <w:ind w:right="-859"/>
      </w:pPr>
      <w:r>
        <w:t xml:space="preserve">Directrice adjointe communication - Université Grenoble Alpes </w:t>
      </w:r>
    </w:p>
    <w:p w14:paraId="091FF1C5" w14:textId="77777777" w:rsidR="00DB1D35" w:rsidRDefault="00DB1D35" w:rsidP="00DB1D35">
      <w:pPr>
        <w:tabs>
          <w:tab w:val="left" w:pos="4678"/>
        </w:tabs>
        <w:spacing w:after="0" w:line="240" w:lineRule="auto"/>
        <w:ind w:right="-859"/>
      </w:pPr>
      <w:r>
        <w:t>muriel.jakobiak@univ-grenoble-alpes.fr</w:t>
      </w:r>
    </w:p>
    <w:p w14:paraId="298ACAFD" w14:textId="4C117AB9" w:rsidR="00DB1D35" w:rsidRDefault="00DB1D35" w:rsidP="00DB1D35">
      <w:pPr>
        <w:tabs>
          <w:tab w:val="left" w:pos="4678"/>
        </w:tabs>
        <w:spacing w:after="0" w:line="240" w:lineRule="auto"/>
        <w:ind w:right="-859"/>
      </w:pPr>
      <w:r>
        <w:t>T</w:t>
      </w:r>
      <w:r w:rsidR="00E72D53">
        <w:t>él.</w:t>
      </w:r>
      <w:r>
        <w:t xml:space="preserve"> 04 76 51 44 98 /</w:t>
      </w:r>
      <w:r w:rsidR="00E72D53">
        <w:t xml:space="preserve"> </w:t>
      </w:r>
      <w:r>
        <w:t>06 71 06 92 26</w:t>
      </w:r>
    </w:p>
    <w:p w14:paraId="4C9A1D22" w14:textId="77777777" w:rsidR="008E6655" w:rsidRDefault="008E6655" w:rsidP="00DB1D35">
      <w:pPr>
        <w:tabs>
          <w:tab w:val="left" w:pos="4678"/>
        </w:tabs>
        <w:spacing w:after="0" w:line="240" w:lineRule="auto"/>
        <w:ind w:right="-859"/>
      </w:pPr>
    </w:p>
    <w:p w14:paraId="4F5C774B" w14:textId="77777777" w:rsidR="008E6655" w:rsidRDefault="008E6655" w:rsidP="00DB1D35">
      <w:pPr>
        <w:tabs>
          <w:tab w:val="left" w:pos="4678"/>
        </w:tabs>
        <w:spacing w:after="0" w:line="240" w:lineRule="auto"/>
        <w:ind w:right="-859"/>
        <w:rPr>
          <w:b/>
        </w:rPr>
      </w:pPr>
      <w:r w:rsidRPr="00222C66">
        <w:rPr>
          <w:b/>
        </w:rPr>
        <w:t xml:space="preserve">Cécile </w:t>
      </w:r>
      <w:proofErr w:type="spellStart"/>
      <w:r w:rsidRPr="00222C66">
        <w:rPr>
          <w:b/>
        </w:rPr>
        <w:t>Cornillet</w:t>
      </w:r>
      <w:proofErr w:type="spellEnd"/>
    </w:p>
    <w:p w14:paraId="29595F33" w14:textId="77777777" w:rsidR="00B72460" w:rsidRPr="00C53D29" w:rsidRDefault="00BD2267" w:rsidP="00DB1D35">
      <w:pPr>
        <w:tabs>
          <w:tab w:val="left" w:pos="4678"/>
        </w:tabs>
        <w:spacing w:after="0" w:line="240" w:lineRule="auto"/>
        <w:ind w:right="-859"/>
      </w:pPr>
      <w:r w:rsidRPr="00C53D29">
        <w:t>Chargée de communication et des relations presse</w:t>
      </w:r>
    </w:p>
    <w:p w14:paraId="64A5F108" w14:textId="77777777" w:rsidR="00B72460" w:rsidRPr="00C53D29" w:rsidRDefault="00BD2267" w:rsidP="00DB1D35">
      <w:pPr>
        <w:tabs>
          <w:tab w:val="left" w:pos="4678"/>
        </w:tabs>
        <w:spacing w:after="0" w:line="240" w:lineRule="auto"/>
        <w:ind w:right="-859"/>
      </w:pPr>
      <w:r w:rsidRPr="00C53D29">
        <w:t>Cabinet de la Rectrice</w:t>
      </w:r>
    </w:p>
    <w:p w14:paraId="4D1CA103" w14:textId="77777777" w:rsidR="00B72460" w:rsidRPr="00C53D29" w:rsidRDefault="00BD2267" w:rsidP="00DB1D35">
      <w:pPr>
        <w:tabs>
          <w:tab w:val="left" w:pos="4678"/>
        </w:tabs>
        <w:spacing w:after="0" w:line="240" w:lineRule="auto"/>
        <w:ind w:right="-859"/>
      </w:pPr>
      <w:r w:rsidRPr="00C53D29">
        <w:t>Rectorat de l’académie de Grenoble</w:t>
      </w:r>
    </w:p>
    <w:p w14:paraId="5E59D983" w14:textId="77777777" w:rsidR="00B72460" w:rsidRPr="00C53D29" w:rsidRDefault="00B92BA1" w:rsidP="00DB1D35">
      <w:pPr>
        <w:tabs>
          <w:tab w:val="left" w:pos="4678"/>
        </w:tabs>
        <w:spacing w:after="0" w:line="240" w:lineRule="auto"/>
        <w:ind w:right="-859"/>
      </w:pPr>
      <w:hyperlink r:id="rId10" w:history="1">
        <w:r w:rsidR="00BD2267" w:rsidRPr="00C53D29">
          <w:rPr>
            <w:rStyle w:val="Lienhypertexte"/>
          </w:rPr>
          <w:t>cecile.cornillet@ac-grenoble.fr</w:t>
        </w:r>
      </w:hyperlink>
      <w:r w:rsidR="00BD2267" w:rsidRPr="00C53D29">
        <w:t xml:space="preserve"> </w:t>
      </w:r>
    </w:p>
    <w:p w14:paraId="37FA663C" w14:textId="6EFE1B32" w:rsidR="00B72460" w:rsidRPr="00C53D29" w:rsidRDefault="00E72D53" w:rsidP="00DB1D35">
      <w:pPr>
        <w:tabs>
          <w:tab w:val="left" w:pos="4678"/>
        </w:tabs>
        <w:spacing w:after="0" w:line="240" w:lineRule="auto"/>
        <w:ind w:right="-859"/>
      </w:pPr>
      <w:r>
        <w:t xml:space="preserve">Tél. </w:t>
      </w:r>
      <w:r w:rsidR="00BD2267" w:rsidRPr="00C53D29">
        <w:t>04 76 74 76 83 / 06 14 05 52 68</w:t>
      </w:r>
    </w:p>
    <w:p w14:paraId="1C30D800" w14:textId="77777777" w:rsidR="00DA1DF5" w:rsidRPr="00B72460" w:rsidRDefault="00DA1DF5"/>
    <w:sectPr w:rsidR="00DA1DF5" w:rsidRPr="00B72460" w:rsidSect="00BD2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25A18"/>
    <w:multiLevelType w:val="multilevel"/>
    <w:tmpl w:val="1236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35433D"/>
    <w:multiLevelType w:val="multilevel"/>
    <w:tmpl w:val="72D8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B661BE"/>
    <w:multiLevelType w:val="multilevel"/>
    <w:tmpl w:val="EF62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7B7402"/>
    <w:multiLevelType w:val="multilevel"/>
    <w:tmpl w:val="A40C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0F"/>
    <w:rsid w:val="00014B5F"/>
    <w:rsid w:val="0003124A"/>
    <w:rsid w:val="000502BA"/>
    <w:rsid w:val="00072C2E"/>
    <w:rsid w:val="000E2646"/>
    <w:rsid w:val="0015195E"/>
    <w:rsid w:val="00157C9A"/>
    <w:rsid w:val="00187C79"/>
    <w:rsid w:val="00195E0F"/>
    <w:rsid w:val="001B5B32"/>
    <w:rsid w:val="001C317E"/>
    <w:rsid w:val="00220C35"/>
    <w:rsid w:val="00222C66"/>
    <w:rsid w:val="00293560"/>
    <w:rsid w:val="002D6B78"/>
    <w:rsid w:val="002F002E"/>
    <w:rsid w:val="003017A1"/>
    <w:rsid w:val="00341F0A"/>
    <w:rsid w:val="003453C1"/>
    <w:rsid w:val="003B768F"/>
    <w:rsid w:val="003D3D1B"/>
    <w:rsid w:val="0044514A"/>
    <w:rsid w:val="004451D1"/>
    <w:rsid w:val="00484460"/>
    <w:rsid w:val="004C0BA2"/>
    <w:rsid w:val="004E671D"/>
    <w:rsid w:val="005838C6"/>
    <w:rsid w:val="005E5563"/>
    <w:rsid w:val="005F278B"/>
    <w:rsid w:val="00641F70"/>
    <w:rsid w:val="0065333C"/>
    <w:rsid w:val="00681DBE"/>
    <w:rsid w:val="006D188F"/>
    <w:rsid w:val="006D68B5"/>
    <w:rsid w:val="006E2261"/>
    <w:rsid w:val="00706BFF"/>
    <w:rsid w:val="007078A3"/>
    <w:rsid w:val="00746604"/>
    <w:rsid w:val="00754768"/>
    <w:rsid w:val="00762F01"/>
    <w:rsid w:val="00853E19"/>
    <w:rsid w:val="00853F1F"/>
    <w:rsid w:val="008E6655"/>
    <w:rsid w:val="009A1602"/>
    <w:rsid w:val="009D3952"/>
    <w:rsid w:val="009E62B5"/>
    <w:rsid w:val="00A45103"/>
    <w:rsid w:val="00A661DC"/>
    <w:rsid w:val="00AD594B"/>
    <w:rsid w:val="00B72460"/>
    <w:rsid w:val="00B92BA1"/>
    <w:rsid w:val="00BD2267"/>
    <w:rsid w:val="00C04D3F"/>
    <w:rsid w:val="00C10ADC"/>
    <w:rsid w:val="00C16D6E"/>
    <w:rsid w:val="00C35D34"/>
    <w:rsid w:val="00C512E5"/>
    <w:rsid w:val="00C53D29"/>
    <w:rsid w:val="00C76978"/>
    <w:rsid w:val="00C77EF9"/>
    <w:rsid w:val="00CA2C03"/>
    <w:rsid w:val="00CD138D"/>
    <w:rsid w:val="00D061D6"/>
    <w:rsid w:val="00D1531B"/>
    <w:rsid w:val="00D51627"/>
    <w:rsid w:val="00D85F38"/>
    <w:rsid w:val="00D973E2"/>
    <w:rsid w:val="00DA1DF5"/>
    <w:rsid w:val="00DB1D35"/>
    <w:rsid w:val="00E65DB8"/>
    <w:rsid w:val="00E72D53"/>
    <w:rsid w:val="00EB5377"/>
    <w:rsid w:val="00ED2725"/>
    <w:rsid w:val="00F12A52"/>
    <w:rsid w:val="00F304B7"/>
    <w:rsid w:val="00F97496"/>
    <w:rsid w:val="00FB4221"/>
    <w:rsid w:val="00FE6BAD"/>
    <w:rsid w:val="00FF4A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5ED0"/>
  <w15:docId w15:val="{A3B08AAE-2B61-43C5-8B56-13821F9F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267"/>
  </w:style>
  <w:style w:type="paragraph" w:styleId="Titre1">
    <w:name w:val="heading 1"/>
    <w:basedOn w:val="Normal"/>
    <w:link w:val="Titre1Car"/>
    <w:uiPriority w:val="9"/>
    <w:qFormat/>
    <w:rsid w:val="00ED27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ED272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2725"/>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ED272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ED27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D2725"/>
    <w:rPr>
      <w:color w:val="0000FF"/>
      <w:u w:val="single"/>
    </w:rPr>
  </w:style>
  <w:style w:type="paragraph" w:customStyle="1" w:styleId="h3rougecap">
    <w:name w:val="h3_rouge_cap"/>
    <w:basedOn w:val="Normal"/>
    <w:rsid w:val="00ED27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D2725"/>
    <w:rPr>
      <w:b/>
      <w:bCs/>
    </w:rPr>
  </w:style>
  <w:style w:type="character" w:styleId="Accentuation">
    <w:name w:val="Emphasis"/>
    <w:basedOn w:val="Policepardfaut"/>
    <w:uiPriority w:val="20"/>
    <w:qFormat/>
    <w:rsid w:val="00ED2725"/>
    <w:rPr>
      <w:i/>
      <w:iCs/>
    </w:rPr>
  </w:style>
  <w:style w:type="paragraph" w:customStyle="1" w:styleId="enavant">
    <w:name w:val="en_avant"/>
    <w:basedOn w:val="Normal"/>
    <w:rsid w:val="00A661D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E66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6655"/>
    <w:rPr>
      <w:rFonts w:ascii="Segoe UI" w:hAnsi="Segoe UI" w:cs="Segoe UI"/>
      <w:sz w:val="18"/>
      <w:szCs w:val="18"/>
    </w:rPr>
  </w:style>
  <w:style w:type="character" w:styleId="Marquedecommentaire">
    <w:name w:val="annotation reference"/>
    <w:basedOn w:val="Policepardfaut"/>
    <w:uiPriority w:val="99"/>
    <w:semiHidden/>
    <w:unhideWhenUsed/>
    <w:rsid w:val="003453C1"/>
    <w:rPr>
      <w:sz w:val="16"/>
      <w:szCs w:val="16"/>
    </w:rPr>
  </w:style>
  <w:style w:type="paragraph" w:styleId="Commentaire">
    <w:name w:val="annotation text"/>
    <w:basedOn w:val="Normal"/>
    <w:link w:val="CommentaireCar"/>
    <w:uiPriority w:val="99"/>
    <w:semiHidden/>
    <w:unhideWhenUsed/>
    <w:rsid w:val="003453C1"/>
    <w:pPr>
      <w:spacing w:line="240" w:lineRule="auto"/>
    </w:pPr>
    <w:rPr>
      <w:sz w:val="20"/>
      <w:szCs w:val="20"/>
    </w:rPr>
  </w:style>
  <w:style w:type="character" w:customStyle="1" w:styleId="CommentaireCar">
    <w:name w:val="Commentaire Car"/>
    <w:basedOn w:val="Policepardfaut"/>
    <w:link w:val="Commentaire"/>
    <w:uiPriority w:val="99"/>
    <w:semiHidden/>
    <w:rsid w:val="003453C1"/>
    <w:rPr>
      <w:sz w:val="20"/>
      <w:szCs w:val="20"/>
    </w:rPr>
  </w:style>
  <w:style w:type="paragraph" w:styleId="Objetducommentaire">
    <w:name w:val="annotation subject"/>
    <w:basedOn w:val="Commentaire"/>
    <w:next w:val="Commentaire"/>
    <w:link w:val="ObjetducommentaireCar"/>
    <w:uiPriority w:val="99"/>
    <w:semiHidden/>
    <w:unhideWhenUsed/>
    <w:rsid w:val="003453C1"/>
    <w:rPr>
      <w:b/>
      <w:bCs/>
    </w:rPr>
  </w:style>
  <w:style w:type="character" w:customStyle="1" w:styleId="ObjetducommentaireCar">
    <w:name w:val="Objet du commentaire Car"/>
    <w:basedOn w:val="CommentaireCar"/>
    <w:link w:val="Objetducommentaire"/>
    <w:uiPriority w:val="99"/>
    <w:semiHidden/>
    <w:rsid w:val="003453C1"/>
    <w:rPr>
      <w:b/>
      <w:bCs/>
      <w:sz w:val="20"/>
      <w:szCs w:val="20"/>
    </w:rPr>
  </w:style>
  <w:style w:type="character" w:customStyle="1" w:styleId="e24kjd">
    <w:name w:val="e24kjd"/>
    <w:basedOn w:val="Policepardfaut"/>
    <w:rsid w:val="00681DBE"/>
  </w:style>
  <w:style w:type="paragraph" w:styleId="Rvision">
    <w:name w:val="Revision"/>
    <w:hidden/>
    <w:uiPriority w:val="99"/>
    <w:semiHidden/>
    <w:rsid w:val="004451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3293">
      <w:bodyDiv w:val="1"/>
      <w:marLeft w:val="0"/>
      <w:marRight w:val="0"/>
      <w:marTop w:val="0"/>
      <w:marBottom w:val="0"/>
      <w:divBdr>
        <w:top w:val="none" w:sz="0" w:space="0" w:color="auto"/>
        <w:left w:val="none" w:sz="0" w:space="0" w:color="auto"/>
        <w:bottom w:val="none" w:sz="0" w:space="0" w:color="auto"/>
        <w:right w:val="none" w:sz="0" w:space="0" w:color="auto"/>
      </w:divBdr>
      <w:divsChild>
        <w:div w:id="1010061307">
          <w:marLeft w:val="0"/>
          <w:marRight w:val="0"/>
          <w:marTop w:val="0"/>
          <w:marBottom w:val="0"/>
          <w:divBdr>
            <w:top w:val="none" w:sz="0" w:space="0" w:color="auto"/>
            <w:left w:val="none" w:sz="0" w:space="0" w:color="auto"/>
            <w:bottom w:val="none" w:sz="0" w:space="0" w:color="auto"/>
            <w:right w:val="none" w:sz="0" w:space="0" w:color="auto"/>
          </w:divBdr>
        </w:div>
        <w:div w:id="11731237">
          <w:marLeft w:val="0"/>
          <w:marRight w:val="0"/>
          <w:marTop w:val="0"/>
          <w:marBottom w:val="0"/>
          <w:divBdr>
            <w:top w:val="none" w:sz="0" w:space="0" w:color="auto"/>
            <w:left w:val="none" w:sz="0" w:space="0" w:color="auto"/>
            <w:bottom w:val="none" w:sz="0" w:space="0" w:color="auto"/>
            <w:right w:val="none" w:sz="0" w:space="0" w:color="auto"/>
          </w:divBdr>
          <w:divsChild>
            <w:div w:id="16223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967">
      <w:bodyDiv w:val="1"/>
      <w:marLeft w:val="0"/>
      <w:marRight w:val="0"/>
      <w:marTop w:val="0"/>
      <w:marBottom w:val="0"/>
      <w:divBdr>
        <w:top w:val="none" w:sz="0" w:space="0" w:color="auto"/>
        <w:left w:val="none" w:sz="0" w:space="0" w:color="auto"/>
        <w:bottom w:val="none" w:sz="0" w:space="0" w:color="auto"/>
        <w:right w:val="none" w:sz="0" w:space="0" w:color="auto"/>
      </w:divBdr>
    </w:div>
    <w:div w:id="164829372">
      <w:bodyDiv w:val="1"/>
      <w:marLeft w:val="0"/>
      <w:marRight w:val="0"/>
      <w:marTop w:val="0"/>
      <w:marBottom w:val="0"/>
      <w:divBdr>
        <w:top w:val="none" w:sz="0" w:space="0" w:color="auto"/>
        <w:left w:val="none" w:sz="0" w:space="0" w:color="auto"/>
        <w:bottom w:val="none" w:sz="0" w:space="0" w:color="auto"/>
        <w:right w:val="none" w:sz="0" w:space="0" w:color="auto"/>
      </w:divBdr>
    </w:div>
    <w:div w:id="395856505">
      <w:bodyDiv w:val="1"/>
      <w:marLeft w:val="0"/>
      <w:marRight w:val="0"/>
      <w:marTop w:val="0"/>
      <w:marBottom w:val="0"/>
      <w:divBdr>
        <w:top w:val="none" w:sz="0" w:space="0" w:color="auto"/>
        <w:left w:val="none" w:sz="0" w:space="0" w:color="auto"/>
        <w:bottom w:val="none" w:sz="0" w:space="0" w:color="auto"/>
        <w:right w:val="none" w:sz="0" w:space="0" w:color="auto"/>
      </w:divBdr>
      <w:divsChild>
        <w:div w:id="1828596932">
          <w:marLeft w:val="0"/>
          <w:marRight w:val="0"/>
          <w:marTop w:val="0"/>
          <w:marBottom w:val="0"/>
          <w:divBdr>
            <w:top w:val="none" w:sz="0" w:space="0" w:color="auto"/>
            <w:left w:val="none" w:sz="0" w:space="0" w:color="auto"/>
            <w:bottom w:val="none" w:sz="0" w:space="0" w:color="auto"/>
            <w:right w:val="none" w:sz="0" w:space="0" w:color="auto"/>
          </w:divBdr>
        </w:div>
        <w:div w:id="1573659645">
          <w:marLeft w:val="0"/>
          <w:marRight w:val="0"/>
          <w:marTop w:val="0"/>
          <w:marBottom w:val="0"/>
          <w:divBdr>
            <w:top w:val="none" w:sz="0" w:space="0" w:color="auto"/>
            <w:left w:val="none" w:sz="0" w:space="0" w:color="auto"/>
            <w:bottom w:val="none" w:sz="0" w:space="0" w:color="auto"/>
            <w:right w:val="none" w:sz="0" w:space="0" w:color="auto"/>
          </w:divBdr>
        </w:div>
        <w:div w:id="1010910509">
          <w:marLeft w:val="0"/>
          <w:marRight w:val="0"/>
          <w:marTop w:val="0"/>
          <w:marBottom w:val="0"/>
          <w:divBdr>
            <w:top w:val="none" w:sz="0" w:space="0" w:color="auto"/>
            <w:left w:val="none" w:sz="0" w:space="0" w:color="auto"/>
            <w:bottom w:val="none" w:sz="0" w:space="0" w:color="auto"/>
            <w:right w:val="none" w:sz="0" w:space="0" w:color="auto"/>
          </w:divBdr>
        </w:div>
        <w:div w:id="2074891194">
          <w:marLeft w:val="0"/>
          <w:marRight w:val="0"/>
          <w:marTop w:val="0"/>
          <w:marBottom w:val="0"/>
          <w:divBdr>
            <w:top w:val="none" w:sz="0" w:space="0" w:color="auto"/>
            <w:left w:val="none" w:sz="0" w:space="0" w:color="auto"/>
            <w:bottom w:val="none" w:sz="0" w:space="0" w:color="auto"/>
            <w:right w:val="none" w:sz="0" w:space="0" w:color="auto"/>
          </w:divBdr>
        </w:div>
      </w:divsChild>
    </w:div>
    <w:div w:id="634943133">
      <w:bodyDiv w:val="1"/>
      <w:marLeft w:val="0"/>
      <w:marRight w:val="0"/>
      <w:marTop w:val="0"/>
      <w:marBottom w:val="0"/>
      <w:divBdr>
        <w:top w:val="none" w:sz="0" w:space="0" w:color="auto"/>
        <w:left w:val="none" w:sz="0" w:space="0" w:color="auto"/>
        <w:bottom w:val="none" w:sz="0" w:space="0" w:color="auto"/>
        <w:right w:val="none" w:sz="0" w:space="0" w:color="auto"/>
      </w:divBdr>
      <w:divsChild>
        <w:div w:id="626354321">
          <w:marLeft w:val="0"/>
          <w:marRight w:val="0"/>
          <w:marTop w:val="0"/>
          <w:marBottom w:val="0"/>
          <w:divBdr>
            <w:top w:val="none" w:sz="0" w:space="0" w:color="auto"/>
            <w:left w:val="none" w:sz="0" w:space="0" w:color="auto"/>
            <w:bottom w:val="none" w:sz="0" w:space="0" w:color="auto"/>
            <w:right w:val="none" w:sz="0" w:space="0" w:color="auto"/>
          </w:divBdr>
        </w:div>
        <w:div w:id="2028018481">
          <w:marLeft w:val="0"/>
          <w:marRight w:val="0"/>
          <w:marTop w:val="0"/>
          <w:marBottom w:val="0"/>
          <w:divBdr>
            <w:top w:val="none" w:sz="0" w:space="0" w:color="auto"/>
            <w:left w:val="none" w:sz="0" w:space="0" w:color="auto"/>
            <w:bottom w:val="none" w:sz="0" w:space="0" w:color="auto"/>
            <w:right w:val="none" w:sz="0" w:space="0" w:color="auto"/>
          </w:divBdr>
          <w:divsChild>
            <w:div w:id="9706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40476">
      <w:bodyDiv w:val="1"/>
      <w:marLeft w:val="0"/>
      <w:marRight w:val="0"/>
      <w:marTop w:val="0"/>
      <w:marBottom w:val="0"/>
      <w:divBdr>
        <w:top w:val="none" w:sz="0" w:space="0" w:color="auto"/>
        <w:left w:val="none" w:sz="0" w:space="0" w:color="auto"/>
        <w:bottom w:val="none" w:sz="0" w:space="0" w:color="auto"/>
        <w:right w:val="none" w:sz="0" w:space="0" w:color="auto"/>
      </w:divBdr>
    </w:div>
    <w:div w:id="210233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grenoble-alpes.fr/" TargetMode="External"/><Relationship Id="rId3" Type="http://schemas.openxmlformats.org/officeDocument/2006/relationships/styles" Target="styles.xml"/><Relationship Id="rId7" Type="http://schemas.openxmlformats.org/officeDocument/2006/relationships/hyperlink" Target="http://www.gouvernement.fr/secretariat-general-pour-l-investissement-sgp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ecile.cornillet@ac-grenoble.fr" TargetMode="External"/><Relationship Id="rId4" Type="http://schemas.openxmlformats.org/officeDocument/2006/relationships/settings" Target="settings.xml"/><Relationship Id="rId9" Type="http://schemas.openxmlformats.org/officeDocument/2006/relationships/hyperlink" Target="http://www.ac-grenob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C9DE3-565A-45DB-A144-D03F3C74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1680</Words>
  <Characters>9244</Characters>
  <Application>Microsoft Office Word</Application>
  <DocSecurity>4</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DSI UGA</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BOUSTIE</dc:creator>
  <cp:lastModifiedBy>MURIEL JAKOBIAK FONTANA</cp:lastModifiedBy>
  <cp:revision>2</cp:revision>
  <dcterms:created xsi:type="dcterms:W3CDTF">2020-02-04T13:58:00Z</dcterms:created>
  <dcterms:modified xsi:type="dcterms:W3CDTF">2020-02-04T13:58:00Z</dcterms:modified>
</cp:coreProperties>
</file>